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86D78" w14:textId="77777777" w:rsidR="004F1B2E" w:rsidRDefault="002A61D6">
      <w:pPr>
        <w:rPr>
          <w:rFonts w:ascii="宋体" w:eastAsia="宋体" w:hAnsi="宋体"/>
          <w:b/>
          <w:sz w:val="24"/>
          <w:szCs w:val="24"/>
        </w:rPr>
      </w:pPr>
      <w:r>
        <w:rPr>
          <w:rFonts w:ascii="宋体" w:eastAsia="宋体" w:hAnsi="宋体" w:hint="eastAsia"/>
          <w:b/>
          <w:sz w:val="24"/>
          <w:szCs w:val="24"/>
        </w:rPr>
        <w:t>证券代码：600330                                证券简称：天通股份</w:t>
      </w:r>
    </w:p>
    <w:p w14:paraId="35CC9AF4" w14:textId="77777777" w:rsidR="004F1B2E" w:rsidRDefault="004F1B2E">
      <w:pPr>
        <w:rPr>
          <w:rFonts w:ascii="宋体" w:eastAsia="宋体" w:hAnsi="宋体"/>
          <w:sz w:val="24"/>
          <w:szCs w:val="24"/>
        </w:rPr>
      </w:pPr>
    </w:p>
    <w:p w14:paraId="398FB983" w14:textId="77777777" w:rsidR="004F1B2E" w:rsidRDefault="002A61D6">
      <w:pPr>
        <w:jc w:val="center"/>
        <w:rPr>
          <w:rFonts w:ascii="宋体" w:eastAsia="宋体" w:hAnsi="宋体"/>
          <w:b/>
          <w:sz w:val="36"/>
          <w:szCs w:val="36"/>
        </w:rPr>
      </w:pPr>
      <w:r>
        <w:rPr>
          <w:rFonts w:ascii="宋体" w:eastAsia="宋体" w:hAnsi="宋体" w:hint="eastAsia"/>
          <w:b/>
          <w:sz w:val="36"/>
          <w:szCs w:val="36"/>
        </w:rPr>
        <w:t>天通控股股份有限公司</w:t>
      </w:r>
    </w:p>
    <w:p w14:paraId="06EB13AD" w14:textId="77777777" w:rsidR="004F1B2E" w:rsidRDefault="002A61D6">
      <w:pPr>
        <w:jc w:val="center"/>
        <w:rPr>
          <w:rFonts w:ascii="宋体" w:eastAsia="宋体" w:hAnsi="宋体"/>
          <w:b/>
          <w:sz w:val="36"/>
          <w:szCs w:val="36"/>
        </w:rPr>
      </w:pPr>
      <w:r>
        <w:rPr>
          <w:rFonts w:ascii="宋体" w:eastAsia="宋体" w:hAnsi="宋体" w:hint="eastAsia"/>
          <w:b/>
          <w:sz w:val="36"/>
          <w:szCs w:val="36"/>
        </w:rPr>
        <w:t>投资者关系活动记录表</w:t>
      </w:r>
    </w:p>
    <w:p w14:paraId="2774413B" w14:textId="77777777" w:rsidR="004F1B2E" w:rsidRDefault="004F1B2E">
      <w:pPr>
        <w:jc w:val="center"/>
        <w:rPr>
          <w:rFonts w:ascii="宋体" w:eastAsia="宋体" w:hAnsi="宋体"/>
          <w:b/>
          <w:sz w:val="36"/>
          <w:szCs w:val="36"/>
        </w:rPr>
      </w:pPr>
    </w:p>
    <w:tbl>
      <w:tblPr>
        <w:tblStyle w:val="a9"/>
        <w:tblW w:w="0" w:type="auto"/>
        <w:tblLook w:val="04A0" w:firstRow="1" w:lastRow="0" w:firstColumn="1" w:lastColumn="0" w:noHBand="0" w:noVBand="1"/>
      </w:tblPr>
      <w:tblGrid>
        <w:gridCol w:w="1444"/>
        <w:gridCol w:w="6851"/>
      </w:tblGrid>
      <w:tr w:rsidR="004F1B2E" w14:paraId="68BCDBA2" w14:textId="77777777">
        <w:tc>
          <w:tcPr>
            <w:tcW w:w="1444" w:type="dxa"/>
            <w:tcBorders>
              <w:top w:val="single" w:sz="4" w:space="0" w:color="auto"/>
              <w:left w:val="single" w:sz="4" w:space="0" w:color="auto"/>
              <w:bottom w:val="single" w:sz="4" w:space="0" w:color="auto"/>
              <w:right w:val="single" w:sz="4" w:space="0" w:color="auto"/>
            </w:tcBorders>
            <w:vAlign w:val="center"/>
          </w:tcPr>
          <w:p w14:paraId="70EB5050" w14:textId="77777777" w:rsidR="004F1B2E" w:rsidRDefault="002A61D6">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45CD350D" w14:textId="77777777" w:rsidR="004F1B2E" w:rsidRDefault="002A61D6">
            <w:pPr>
              <w:spacing w:line="360" w:lineRule="auto"/>
              <w:jc w:val="center"/>
              <w:rPr>
                <w:rFonts w:ascii="黑体" w:eastAsia="黑体" w:hAnsi="黑体"/>
                <w:sz w:val="24"/>
                <w:szCs w:val="24"/>
              </w:rPr>
            </w:pPr>
            <w:r>
              <w:rPr>
                <w:rFonts w:ascii="黑体" w:eastAsia="黑体" w:hAnsi="黑体" w:hint="eastAsia"/>
                <w:sz w:val="24"/>
                <w:szCs w:val="24"/>
              </w:rPr>
              <w:t>活动类别</w:t>
            </w:r>
          </w:p>
        </w:tc>
        <w:tc>
          <w:tcPr>
            <w:tcW w:w="6851" w:type="dxa"/>
            <w:tcBorders>
              <w:top w:val="single" w:sz="4" w:space="0" w:color="auto"/>
              <w:left w:val="single" w:sz="4" w:space="0" w:color="auto"/>
              <w:bottom w:val="single" w:sz="4" w:space="0" w:color="auto"/>
              <w:right w:val="single" w:sz="4" w:space="0" w:color="auto"/>
            </w:tcBorders>
            <w:vAlign w:val="center"/>
          </w:tcPr>
          <w:p w14:paraId="3A188E17" w14:textId="77777777" w:rsidR="004F1B2E" w:rsidRDefault="002A61D6">
            <w:pPr>
              <w:rPr>
                <w:rFonts w:ascii="宋体" w:eastAsia="宋体" w:hAnsi="宋体"/>
                <w:sz w:val="24"/>
                <w:szCs w:val="24"/>
              </w:rPr>
            </w:pPr>
            <w:r>
              <w:rPr>
                <w:rFonts w:ascii="宋体" w:eastAsia="宋体" w:hAnsi="宋体" w:hint="eastAsia"/>
                <w:sz w:val="24"/>
                <w:szCs w:val="24"/>
              </w:rPr>
              <w:t>现场调研</w:t>
            </w:r>
          </w:p>
        </w:tc>
      </w:tr>
      <w:tr w:rsidR="004F1B2E" w14:paraId="0E55C608" w14:textId="77777777">
        <w:tc>
          <w:tcPr>
            <w:tcW w:w="1444" w:type="dxa"/>
            <w:tcBorders>
              <w:top w:val="single" w:sz="4" w:space="0" w:color="auto"/>
              <w:left w:val="single" w:sz="4" w:space="0" w:color="auto"/>
              <w:bottom w:val="single" w:sz="4" w:space="0" w:color="auto"/>
              <w:right w:val="single" w:sz="4" w:space="0" w:color="auto"/>
            </w:tcBorders>
            <w:vAlign w:val="center"/>
          </w:tcPr>
          <w:p w14:paraId="4A942FE8" w14:textId="77777777" w:rsidR="004F1B2E" w:rsidRDefault="002A61D6">
            <w:pPr>
              <w:spacing w:line="360" w:lineRule="auto"/>
              <w:jc w:val="center"/>
              <w:rPr>
                <w:rFonts w:ascii="黑体" w:eastAsia="黑体" w:hAnsi="黑体"/>
                <w:sz w:val="24"/>
                <w:szCs w:val="24"/>
              </w:rPr>
            </w:pPr>
            <w:r>
              <w:rPr>
                <w:rFonts w:ascii="黑体" w:eastAsia="黑体" w:hAnsi="黑体" w:hint="eastAsia"/>
                <w:sz w:val="24"/>
                <w:szCs w:val="24"/>
              </w:rPr>
              <w:t>参与单位名称及人员</w:t>
            </w:r>
          </w:p>
        </w:tc>
        <w:tc>
          <w:tcPr>
            <w:tcW w:w="6851" w:type="dxa"/>
            <w:tcBorders>
              <w:top w:val="single" w:sz="4" w:space="0" w:color="auto"/>
              <w:left w:val="single" w:sz="4" w:space="0" w:color="auto"/>
              <w:bottom w:val="single" w:sz="4" w:space="0" w:color="auto"/>
              <w:right w:val="single" w:sz="4" w:space="0" w:color="auto"/>
            </w:tcBorders>
          </w:tcPr>
          <w:p w14:paraId="7B345F0A" w14:textId="77777777" w:rsidR="004F1B2E" w:rsidRDefault="002A61D6">
            <w:pPr>
              <w:spacing w:line="360" w:lineRule="auto"/>
              <w:rPr>
                <w:rFonts w:ascii="宋体" w:eastAsia="宋体" w:hAnsi="宋体"/>
                <w:sz w:val="24"/>
                <w:szCs w:val="24"/>
              </w:rPr>
            </w:pPr>
            <w:r>
              <w:rPr>
                <w:rFonts w:ascii="宋体" w:eastAsia="宋体" w:hAnsi="宋体" w:hint="eastAsia"/>
                <w:bCs/>
                <w:sz w:val="24"/>
                <w:szCs w:val="24"/>
              </w:rPr>
              <w:t>天风证券股份有限公司、</w:t>
            </w:r>
            <w:proofErr w:type="gramStart"/>
            <w:r>
              <w:rPr>
                <w:rFonts w:ascii="宋体" w:eastAsia="宋体" w:hAnsi="宋体" w:hint="eastAsia"/>
                <w:bCs/>
                <w:sz w:val="24"/>
                <w:szCs w:val="24"/>
              </w:rPr>
              <w:t>信达澳亚基</w:t>
            </w:r>
            <w:proofErr w:type="gramEnd"/>
            <w:r>
              <w:rPr>
                <w:rFonts w:ascii="宋体" w:eastAsia="宋体" w:hAnsi="宋体" w:hint="eastAsia"/>
                <w:bCs/>
                <w:sz w:val="24"/>
                <w:szCs w:val="24"/>
              </w:rPr>
              <w:t>金管理有限公司、平安基金管理有限公司、南方基金管理股份有限公司、长城基金管理有限（以上排名不分先后）</w:t>
            </w:r>
          </w:p>
        </w:tc>
      </w:tr>
      <w:tr w:rsidR="004F1B2E" w14:paraId="47C82D42" w14:textId="77777777">
        <w:tc>
          <w:tcPr>
            <w:tcW w:w="1444" w:type="dxa"/>
            <w:tcBorders>
              <w:top w:val="single" w:sz="4" w:space="0" w:color="auto"/>
              <w:left w:val="single" w:sz="4" w:space="0" w:color="auto"/>
              <w:bottom w:val="single" w:sz="4" w:space="0" w:color="auto"/>
              <w:right w:val="single" w:sz="4" w:space="0" w:color="auto"/>
            </w:tcBorders>
            <w:vAlign w:val="center"/>
          </w:tcPr>
          <w:p w14:paraId="36AE784C" w14:textId="77777777" w:rsidR="004F1B2E" w:rsidRDefault="002A61D6">
            <w:pPr>
              <w:jc w:val="center"/>
              <w:rPr>
                <w:rFonts w:ascii="黑体" w:eastAsia="黑体" w:hAnsi="黑体"/>
                <w:sz w:val="24"/>
                <w:szCs w:val="24"/>
              </w:rPr>
            </w:pPr>
            <w:r>
              <w:rPr>
                <w:rFonts w:ascii="黑体" w:eastAsia="黑体" w:hAnsi="黑体" w:hint="eastAsia"/>
                <w:sz w:val="24"/>
                <w:szCs w:val="24"/>
              </w:rPr>
              <w:t>时间</w:t>
            </w:r>
          </w:p>
        </w:tc>
        <w:tc>
          <w:tcPr>
            <w:tcW w:w="6851" w:type="dxa"/>
            <w:tcBorders>
              <w:top w:val="single" w:sz="4" w:space="0" w:color="auto"/>
              <w:left w:val="single" w:sz="4" w:space="0" w:color="auto"/>
              <w:bottom w:val="single" w:sz="4" w:space="0" w:color="auto"/>
              <w:right w:val="single" w:sz="4" w:space="0" w:color="auto"/>
            </w:tcBorders>
          </w:tcPr>
          <w:p w14:paraId="6C516D5E" w14:textId="77777777" w:rsidR="004F1B2E" w:rsidRDefault="002A61D6">
            <w:pPr>
              <w:spacing w:line="360" w:lineRule="auto"/>
              <w:rPr>
                <w:rFonts w:ascii="宋体" w:eastAsia="宋体" w:hAnsi="宋体"/>
                <w:sz w:val="24"/>
                <w:szCs w:val="24"/>
              </w:rPr>
            </w:pPr>
            <w:r>
              <w:rPr>
                <w:rFonts w:ascii="宋体" w:eastAsia="宋体" w:hAnsi="宋体" w:hint="eastAsia"/>
                <w:sz w:val="24"/>
                <w:szCs w:val="24"/>
              </w:rPr>
              <w:t>2026年4月28日10</w:t>
            </w:r>
            <w:r>
              <w:rPr>
                <w:rFonts w:ascii="宋体" w:eastAsia="宋体" w:hAnsi="宋体"/>
                <w:sz w:val="24"/>
                <w:szCs w:val="24"/>
              </w:rPr>
              <w:t>:</w:t>
            </w:r>
            <w:r>
              <w:rPr>
                <w:rFonts w:ascii="宋体" w:eastAsia="宋体" w:hAnsi="宋体" w:hint="eastAsia"/>
                <w:sz w:val="24"/>
                <w:szCs w:val="24"/>
              </w:rPr>
              <w:t>0</w:t>
            </w:r>
            <w:r>
              <w:rPr>
                <w:rFonts w:ascii="宋体" w:eastAsia="宋体" w:hAnsi="宋体"/>
                <w:sz w:val="24"/>
                <w:szCs w:val="24"/>
              </w:rPr>
              <w:t>0</w:t>
            </w:r>
          </w:p>
        </w:tc>
      </w:tr>
      <w:tr w:rsidR="004F1B2E" w14:paraId="0E142A41" w14:textId="77777777">
        <w:tc>
          <w:tcPr>
            <w:tcW w:w="1444" w:type="dxa"/>
            <w:tcBorders>
              <w:top w:val="single" w:sz="4" w:space="0" w:color="auto"/>
              <w:left w:val="single" w:sz="4" w:space="0" w:color="auto"/>
              <w:bottom w:val="single" w:sz="4" w:space="0" w:color="auto"/>
              <w:right w:val="single" w:sz="4" w:space="0" w:color="auto"/>
            </w:tcBorders>
            <w:vAlign w:val="center"/>
          </w:tcPr>
          <w:p w14:paraId="0B8E3224" w14:textId="77777777" w:rsidR="004F1B2E" w:rsidRDefault="002A61D6">
            <w:pPr>
              <w:jc w:val="center"/>
              <w:rPr>
                <w:rFonts w:ascii="黑体" w:eastAsia="黑体" w:hAnsi="黑体"/>
                <w:sz w:val="24"/>
                <w:szCs w:val="24"/>
              </w:rPr>
            </w:pPr>
            <w:r>
              <w:rPr>
                <w:rFonts w:ascii="黑体" w:eastAsia="黑体" w:hAnsi="黑体" w:hint="eastAsia"/>
                <w:sz w:val="24"/>
                <w:szCs w:val="24"/>
              </w:rPr>
              <w:t>地点</w:t>
            </w:r>
          </w:p>
        </w:tc>
        <w:tc>
          <w:tcPr>
            <w:tcW w:w="6851" w:type="dxa"/>
            <w:tcBorders>
              <w:top w:val="single" w:sz="4" w:space="0" w:color="auto"/>
              <w:left w:val="single" w:sz="4" w:space="0" w:color="auto"/>
              <w:bottom w:val="single" w:sz="4" w:space="0" w:color="auto"/>
              <w:right w:val="single" w:sz="4" w:space="0" w:color="auto"/>
            </w:tcBorders>
          </w:tcPr>
          <w:p w14:paraId="03269549" w14:textId="77777777" w:rsidR="004F1B2E" w:rsidRDefault="002A61D6">
            <w:pPr>
              <w:spacing w:line="360" w:lineRule="auto"/>
              <w:rPr>
                <w:rFonts w:ascii="宋体" w:eastAsia="宋体" w:hAnsi="宋体"/>
                <w:sz w:val="24"/>
                <w:szCs w:val="24"/>
              </w:rPr>
            </w:pPr>
            <w:r>
              <w:rPr>
                <w:rFonts w:ascii="宋体" w:eastAsia="宋体" w:hAnsi="宋体" w:hint="eastAsia"/>
                <w:sz w:val="24"/>
                <w:szCs w:val="24"/>
              </w:rPr>
              <w:t>深圳福田香格里拉酒店会议室</w:t>
            </w:r>
          </w:p>
        </w:tc>
      </w:tr>
      <w:tr w:rsidR="004F1B2E" w14:paraId="5C2351D0" w14:textId="77777777">
        <w:tc>
          <w:tcPr>
            <w:tcW w:w="1444" w:type="dxa"/>
            <w:tcBorders>
              <w:top w:val="single" w:sz="4" w:space="0" w:color="auto"/>
              <w:left w:val="single" w:sz="4" w:space="0" w:color="auto"/>
              <w:bottom w:val="single" w:sz="4" w:space="0" w:color="auto"/>
              <w:right w:val="single" w:sz="4" w:space="0" w:color="auto"/>
            </w:tcBorders>
            <w:vAlign w:val="center"/>
          </w:tcPr>
          <w:p w14:paraId="07E4B661" w14:textId="77777777" w:rsidR="004F1B2E" w:rsidRDefault="002A61D6">
            <w:pPr>
              <w:jc w:val="center"/>
              <w:rPr>
                <w:rFonts w:ascii="黑体" w:eastAsia="黑体" w:hAnsi="黑体"/>
                <w:sz w:val="24"/>
                <w:szCs w:val="24"/>
              </w:rPr>
            </w:pPr>
            <w:r>
              <w:rPr>
                <w:rFonts w:ascii="黑体" w:eastAsia="黑体" w:hAnsi="黑体" w:hint="eastAsia"/>
                <w:sz w:val="24"/>
                <w:szCs w:val="24"/>
              </w:rPr>
              <w:t>公司接待人员</w:t>
            </w:r>
          </w:p>
        </w:tc>
        <w:tc>
          <w:tcPr>
            <w:tcW w:w="6851" w:type="dxa"/>
            <w:tcBorders>
              <w:top w:val="single" w:sz="4" w:space="0" w:color="auto"/>
              <w:left w:val="single" w:sz="4" w:space="0" w:color="auto"/>
              <w:bottom w:val="single" w:sz="4" w:space="0" w:color="auto"/>
              <w:right w:val="single" w:sz="4" w:space="0" w:color="auto"/>
            </w:tcBorders>
          </w:tcPr>
          <w:p w14:paraId="15C5CFE5" w14:textId="77777777" w:rsidR="004F1B2E" w:rsidRDefault="002A61D6">
            <w:pPr>
              <w:tabs>
                <w:tab w:val="left" w:pos="2180"/>
              </w:tabs>
              <w:spacing w:line="360" w:lineRule="auto"/>
              <w:rPr>
                <w:rFonts w:ascii="宋体" w:eastAsia="宋体" w:hAnsi="宋体"/>
                <w:bCs/>
                <w:sz w:val="24"/>
                <w:szCs w:val="24"/>
              </w:rPr>
            </w:pPr>
            <w:r>
              <w:rPr>
                <w:rFonts w:ascii="宋体" w:eastAsia="宋体" w:hAnsi="宋体" w:hint="eastAsia"/>
                <w:bCs/>
                <w:sz w:val="24"/>
                <w:szCs w:val="24"/>
              </w:rPr>
              <w:t>董事长：郑晓彬</w:t>
            </w:r>
          </w:p>
          <w:p w14:paraId="6F6400D6" w14:textId="77777777" w:rsidR="004F1B2E" w:rsidRDefault="002A61D6">
            <w:pPr>
              <w:spacing w:line="360" w:lineRule="auto"/>
              <w:rPr>
                <w:rFonts w:ascii="宋体" w:eastAsia="宋体" w:hAnsi="宋体"/>
                <w:sz w:val="24"/>
                <w:szCs w:val="24"/>
              </w:rPr>
            </w:pPr>
            <w:r>
              <w:rPr>
                <w:rFonts w:ascii="宋体" w:eastAsia="宋体" w:hAnsi="宋体" w:hint="eastAsia"/>
                <w:sz w:val="24"/>
                <w:szCs w:val="24"/>
              </w:rPr>
              <w:t>投资者关系管理：姚天恒</w:t>
            </w:r>
          </w:p>
        </w:tc>
      </w:tr>
      <w:tr w:rsidR="004F1B2E" w14:paraId="11039D62" w14:textId="77777777">
        <w:tc>
          <w:tcPr>
            <w:tcW w:w="1444" w:type="dxa"/>
            <w:tcBorders>
              <w:top w:val="single" w:sz="4" w:space="0" w:color="auto"/>
              <w:left w:val="single" w:sz="4" w:space="0" w:color="auto"/>
              <w:bottom w:val="single" w:sz="4" w:space="0" w:color="auto"/>
              <w:right w:val="single" w:sz="4" w:space="0" w:color="auto"/>
            </w:tcBorders>
            <w:vAlign w:val="center"/>
          </w:tcPr>
          <w:p w14:paraId="5740A3B0" w14:textId="77777777" w:rsidR="004F1B2E" w:rsidRDefault="002A61D6">
            <w:pPr>
              <w:spacing w:line="360" w:lineRule="auto"/>
              <w:jc w:val="center"/>
              <w:rPr>
                <w:rFonts w:ascii="黑体" w:eastAsia="黑体" w:hAnsi="黑体"/>
                <w:sz w:val="24"/>
                <w:szCs w:val="24"/>
              </w:rPr>
            </w:pPr>
            <w:r>
              <w:rPr>
                <w:rFonts w:ascii="黑体" w:eastAsia="黑体" w:hAnsi="黑体" w:hint="eastAsia"/>
                <w:sz w:val="24"/>
                <w:szCs w:val="24"/>
              </w:rPr>
              <w:t>投资者关系</w:t>
            </w:r>
          </w:p>
          <w:p w14:paraId="2D3B21D3" w14:textId="77777777" w:rsidR="004F1B2E" w:rsidRDefault="002A61D6">
            <w:pPr>
              <w:spacing w:line="360" w:lineRule="auto"/>
              <w:jc w:val="center"/>
              <w:rPr>
                <w:rFonts w:ascii="黑体" w:eastAsia="黑体" w:hAnsi="黑体"/>
                <w:sz w:val="24"/>
                <w:szCs w:val="24"/>
              </w:rPr>
            </w:pPr>
            <w:r>
              <w:rPr>
                <w:rFonts w:ascii="黑体" w:eastAsia="黑体" w:hAnsi="黑体" w:hint="eastAsia"/>
                <w:sz w:val="24"/>
                <w:szCs w:val="24"/>
              </w:rPr>
              <w:t>活动主要</w:t>
            </w:r>
          </w:p>
          <w:p w14:paraId="64475CBC" w14:textId="77777777" w:rsidR="004F1B2E" w:rsidRDefault="002A61D6">
            <w:pPr>
              <w:spacing w:line="360" w:lineRule="auto"/>
              <w:jc w:val="center"/>
              <w:rPr>
                <w:rFonts w:ascii="黑体" w:eastAsia="黑体" w:hAnsi="黑体"/>
                <w:sz w:val="24"/>
                <w:szCs w:val="24"/>
              </w:rPr>
            </w:pPr>
            <w:r>
              <w:rPr>
                <w:rFonts w:ascii="黑体" w:eastAsia="黑体" w:hAnsi="黑体" w:hint="eastAsia"/>
                <w:sz w:val="24"/>
                <w:szCs w:val="24"/>
              </w:rPr>
              <w:t>内容介绍</w:t>
            </w:r>
          </w:p>
        </w:tc>
        <w:tc>
          <w:tcPr>
            <w:tcW w:w="6851" w:type="dxa"/>
            <w:tcBorders>
              <w:top w:val="single" w:sz="4" w:space="0" w:color="auto"/>
              <w:left w:val="single" w:sz="4" w:space="0" w:color="auto"/>
              <w:bottom w:val="single" w:sz="4" w:space="0" w:color="auto"/>
              <w:right w:val="single" w:sz="4" w:space="0" w:color="auto"/>
            </w:tcBorders>
          </w:tcPr>
          <w:p w14:paraId="2490F987" w14:textId="77777777" w:rsidR="004F1B2E" w:rsidRDefault="002A61D6">
            <w:pPr>
              <w:widowControl/>
              <w:numPr>
                <w:ilvl w:val="0"/>
                <w:numId w:val="1"/>
              </w:numPr>
              <w:spacing w:line="360" w:lineRule="auto"/>
              <w:rPr>
                <w:rFonts w:ascii="宋体" w:eastAsia="宋体" w:hAnsi="宋体"/>
                <w:b/>
                <w:bCs/>
                <w:sz w:val="24"/>
                <w:szCs w:val="24"/>
              </w:rPr>
            </w:pPr>
            <w:r>
              <w:rPr>
                <w:rFonts w:ascii="宋体" w:eastAsia="宋体" w:hAnsi="宋体" w:hint="eastAsia"/>
                <w:b/>
                <w:bCs/>
                <w:sz w:val="24"/>
                <w:szCs w:val="24"/>
              </w:rPr>
              <w:t>公司发展介绍</w:t>
            </w:r>
          </w:p>
          <w:p w14:paraId="3EF5B41F" w14:textId="77777777" w:rsidR="004F1B2E" w:rsidRDefault="002A61D6">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天通控股股份有限公司创办于1984年，于2001年1月18日在上海证券交易所上市，拥有多家控股公司和参股公司，‌是国内首家由自然人直接控股的上市公司。公司将软磁、蓝宝石以及铌酸锂晶体等电子材料作为核心业务，将晶体和粉体智能设备作为支撑业务。公司产品广泛应用于汽车电子、数据中心及服务器、新能源、工业医疗、无线应用等领域。公司生产基地和业务中心分布在海宁、上海、安徽六安、宁夏银川、江苏徐州等多个区域。</w:t>
            </w:r>
          </w:p>
          <w:p w14:paraId="1DDB7E04" w14:textId="77777777" w:rsidR="004F1B2E" w:rsidRDefault="002A61D6">
            <w:pPr>
              <w:widowControl/>
              <w:spacing w:line="360" w:lineRule="auto"/>
              <w:ind w:firstLineChars="200" w:firstLine="480"/>
              <w:rPr>
                <w:rFonts w:ascii="宋体" w:eastAsia="宋体" w:hAnsi="宋体"/>
                <w:bCs/>
                <w:sz w:val="24"/>
                <w:szCs w:val="24"/>
              </w:rPr>
            </w:pPr>
            <w:r>
              <w:rPr>
                <w:rFonts w:ascii="宋体" w:eastAsia="宋体" w:hAnsi="宋体" w:hint="eastAsia"/>
                <w:bCs/>
                <w:sz w:val="24"/>
                <w:szCs w:val="24"/>
              </w:rPr>
              <w:t>其中，公司主业软磁</w:t>
            </w:r>
            <w:r>
              <w:rPr>
                <w:rFonts w:ascii="宋体" w:eastAsia="宋体" w:hAnsi="宋体"/>
                <w:bCs/>
                <w:sz w:val="24"/>
                <w:szCs w:val="24"/>
              </w:rPr>
              <w:t>‌材料‌</w:t>
            </w:r>
            <w:r>
              <w:rPr>
                <w:rFonts w:ascii="宋体" w:eastAsia="宋体" w:hAnsi="宋体" w:hint="eastAsia"/>
                <w:bCs/>
                <w:sz w:val="24"/>
                <w:szCs w:val="24"/>
              </w:rPr>
              <w:t>目前</w:t>
            </w:r>
            <w:r>
              <w:rPr>
                <w:rFonts w:ascii="宋体" w:eastAsia="宋体" w:hAnsi="宋体"/>
                <w:bCs/>
                <w:sz w:val="24"/>
                <w:szCs w:val="24"/>
              </w:rPr>
              <w:t>产能</w:t>
            </w:r>
            <w:r>
              <w:rPr>
                <w:rFonts w:ascii="宋体" w:eastAsia="宋体" w:hAnsi="宋体" w:hint="eastAsia"/>
                <w:bCs/>
                <w:sz w:val="24"/>
                <w:szCs w:val="24"/>
              </w:rPr>
              <w:t>位于行业前列</w:t>
            </w:r>
            <w:r>
              <w:rPr>
                <w:rFonts w:ascii="宋体" w:eastAsia="宋体" w:hAnsi="宋体"/>
                <w:bCs/>
                <w:sz w:val="24"/>
                <w:szCs w:val="24"/>
              </w:rPr>
              <w:t>，</w:t>
            </w:r>
            <w:r>
              <w:rPr>
                <w:rFonts w:ascii="宋体" w:eastAsia="宋体" w:hAnsi="宋体" w:hint="eastAsia"/>
                <w:bCs/>
                <w:sz w:val="24"/>
                <w:szCs w:val="24"/>
              </w:rPr>
              <w:t>是</w:t>
            </w:r>
            <w:r>
              <w:rPr>
                <w:rFonts w:ascii="宋体" w:eastAsia="宋体" w:hAnsi="宋体"/>
                <w:bCs/>
                <w:sz w:val="24"/>
                <w:szCs w:val="24"/>
              </w:rPr>
              <w:t>国家软磁铁氧体标准制定单位之一</w:t>
            </w:r>
            <w:r>
              <w:rPr>
                <w:rFonts w:ascii="宋体" w:eastAsia="宋体" w:hAnsi="宋体" w:hint="eastAsia"/>
                <w:bCs/>
                <w:sz w:val="24"/>
                <w:szCs w:val="24"/>
              </w:rPr>
              <w:t>。</w:t>
            </w:r>
            <w:r>
              <w:rPr>
                <w:rFonts w:ascii="宋体" w:eastAsia="宋体" w:hAnsi="宋体"/>
                <w:bCs/>
                <w:sz w:val="24"/>
                <w:szCs w:val="24"/>
              </w:rPr>
              <w:t>‌压电晶体‌</w:t>
            </w:r>
            <w:r>
              <w:rPr>
                <w:rFonts w:ascii="宋体" w:eastAsia="宋体" w:hAnsi="宋体" w:hint="eastAsia"/>
                <w:bCs/>
                <w:sz w:val="24"/>
                <w:szCs w:val="24"/>
              </w:rPr>
              <w:t>材料</w:t>
            </w:r>
            <w:r>
              <w:rPr>
                <w:rFonts w:ascii="宋体" w:eastAsia="宋体" w:hAnsi="宋体"/>
                <w:bCs/>
                <w:sz w:val="24"/>
                <w:szCs w:val="24"/>
              </w:rPr>
              <w:t>突破国外垄断，8英寸铌酸锂量产填补国内空白，</w:t>
            </w:r>
            <w:r>
              <w:rPr>
                <w:rFonts w:ascii="宋体" w:eastAsia="宋体" w:hAnsi="宋体" w:hint="eastAsia"/>
                <w:bCs/>
                <w:sz w:val="24"/>
                <w:szCs w:val="24"/>
              </w:rPr>
              <w:t>是光通信</w:t>
            </w:r>
            <w:r>
              <w:rPr>
                <w:rFonts w:ascii="宋体" w:eastAsia="宋体" w:hAnsi="宋体"/>
                <w:bCs/>
                <w:sz w:val="24"/>
                <w:szCs w:val="24"/>
              </w:rPr>
              <w:t>CPO关键光学组件</w:t>
            </w:r>
            <w:r>
              <w:rPr>
                <w:rFonts w:ascii="宋体" w:eastAsia="宋体" w:hAnsi="宋体" w:hint="eastAsia"/>
                <w:bCs/>
                <w:sz w:val="24"/>
                <w:szCs w:val="24"/>
              </w:rPr>
              <w:t>的重要</w:t>
            </w:r>
            <w:r>
              <w:rPr>
                <w:rFonts w:ascii="宋体" w:eastAsia="宋体" w:hAnsi="宋体"/>
                <w:bCs/>
                <w:sz w:val="24"/>
                <w:szCs w:val="24"/>
              </w:rPr>
              <w:t>基础</w:t>
            </w:r>
            <w:r>
              <w:rPr>
                <w:rFonts w:ascii="宋体" w:eastAsia="宋体" w:hAnsi="宋体" w:hint="eastAsia"/>
                <w:bCs/>
                <w:sz w:val="24"/>
                <w:szCs w:val="24"/>
              </w:rPr>
              <w:t>材料。此外，公司曾荣获国家技术发明二等奖2项、国家科技进步二等奖2项，拥有专利1000多项，制定国际标准5项，国家标准11项。</w:t>
            </w:r>
          </w:p>
          <w:p w14:paraId="1877B96A" w14:textId="77777777" w:rsidR="004F1B2E" w:rsidRDefault="002A61D6">
            <w:pPr>
              <w:widowControl/>
              <w:spacing w:line="360" w:lineRule="auto"/>
              <w:rPr>
                <w:rFonts w:ascii="宋体" w:eastAsia="宋体" w:hAnsi="宋体"/>
                <w:b/>
                <w:bCs/>
                <w:sz w:val="24"/>
                <w:szCs w:val="24"/>
              </w:rPr>
            </w:pPr>
            <w:r>
              <w:rPr>
                <w:rFonts w:ascii="宋体" w:eastAsia="宋体" w:hAnsi="宋体" w:hint="eastAsia"/>
                <w:b/>
                <w:bCs/>
                <w:sz w:val="24"/>
                <w:szCs w:val="24"/>
              </w:rPr>
              <w:t>二、问答：</w:t>
            </w:r>
          </w:p>
          <w:p w14:paraId="46DCE4A0" w14:textId="77777777" w:rsidR="004F1B2E" w:rsidRDefault="002A61D6">
            <w:pPr>
              <w:widowControl/>
              <w:spacing w:line="360" w:lineRule="auto"/>
              <w:rPr>
                <w:rFonts w:ascii="宋体" w:eastAsia="宋体" w:hAnsi="宋体"/>
                <w:b/>
                <w:bCs/>
                <w:sz w:val="24"/>
                <w:szCs w:val="24"/>
              </w:rPr>
            </w:pPr>
            <w:r>
              <w:rPr>
                <w:rFonts w:ascii="宋体" w:eastAsia="宋体" w:hAnsi="宋体" w:hint="eastAsia"/>
                <w:b/>
                <w:bCs/>
                <w:sz w:val="24"/>
                <w:szCs w:val="24"/>
              </w:rPr>
              <w:lastRenderedPageBreak/>
              <w:t>1、贵司软磁材料的行业发展趋势如何以及市场应对策略如何？</w:t>
            </w:r>
          </w:p>
          <w:p w14:paraId="76E282C7" w14:textId="58F54D07" w:rsidR="004F1B2E" w:rsidRDefault="002A61D6">
            <w:pPr>
              <w:widowControl/>
              <w:spacing w:line="360" w:lineRule="auto"/>
              <w:rPr>
                <w:rFonts w:ascii="宋体" w:eastAsia="宋体" w:hAnsi="宋体"/>
                <w:sz w:val="24"/>
                <w:szCs w:val="24"/>
              </w:rPr>
            </w:pPr>
            <w:r>
              <w:rPr>
                <w:rFonts w:ascii="宋体" w:eastAsia="宋体" w:hAnsi="宋体" w:hint="eastAsia"/>
                <w:sz w:val="24"/>
                <w:szCs w:val="24"/>
              </w:rPr>
              <w:t>软磁材料作为制造业的重要功能性基础材料，应用领域广泛，覆盖新能源汽车及充电桩、智能家居及智能家电、通信电源及通信设备、绿色照明、光伏储能、物联网、医疗等领域。在工业智能化升级、产业信息化转型以及新能源变革的背景下，磁性材料的技术应用范围正在不断拓展</w:t>
            </w:r>
            <w:r w:rsidR="006B13D8">
              <w:rPr>
                <w:rFonts w:ascii="宋体" w:eastAsia="宋体" w:hAnsi="宋体" w:hint="eastAsia"/>
                <w:sz w:val="24"/>
                <w:szCs w:val="24"/>
              </w:rPr>
              <w:t>，</w:t>
            </w:r>
            <w:r>
              <w:rPr>
                <w:rFonts w:ascii="宋体" w:eastAsia="宋体" w:hAnsi="宋体" w:hint="eastAsia"/>
                <w:sz w:val="24"/>
                <w:szCs w:val="24"/>
              </w:rPr>
              <w:t>公司也积极抓住机遇不断优化产品结构。</w:t>
            </w:r>
          </w:p>
          <w:p w14:paraId="3A48FA29" w14:textId="77777777" w:rsidR="004F1B2E" w:rsidRDefault="002A61D6">
            <w:pPr>
              <w:widowControl/>
              <w:numPr>
                <w:ilvl w:val="0"/>
                <w:numId w:val="2"/>
              </w:numPr>
              <w:spacing w:line="360" w:lineRule="auto"/>
              <w:rPr>
                <w:rFonts w:ascii="宋体" w:eastAsia="宋体" w:hAnsi="宋体"/>
                <w:b/>
                <w:bCs/>
                <w:sz w:val="24"/>
                <w:szCs w:val="24"/>
              </w:rPr>
            </w:pPr>
            <w:proofErr w:type="gramStart"/>
            <w:r>
              <w:rPr>
                <w:rFonts w:ascii="宋体" w:eastAsia="宋体" w:hAnsi="宋体" w:hint="eastAsia"/>
                <w:b/>
                <w:bCs/>
                <w:sz w:val="24"/>
                <w:szCs w:val="24"/>
              </w:rPr>
              <w:t>贵司光伏</w:t>
            </w:r>
            <w:proofErr w:type="gramEnd"/>
            <w:r>
              <w:rPr>
                <w:rFonts w:ascii="宋体" w:eastAsia="宋体" w:hAnsi="宋体" w:hint="eastAsia"/>
                <w:b/>
                <w:bCs/>
                <w:sz w:val="24"/>
                <w:szCs w:val="24"/>
              </w:rPr>
              <w:t>装备业务对业绩的不利影响还会持续多长时间？</w:t>
            </w:r>
          </w:p>
          <w:p w14:paraId="38978B9C" w14:textId="77777777" w:rsidR="004F1B2E" w:rsidRDefault="002A61D6">
            <w:pPr>
              <w:widowControl/>
              <w:spacing w:line="360" w:lineRule="auto"/>
              <w:rPr>
                <w:rFonts w:ascii="宋体" w:eastAsia="宋体" w:hAnsi="宋体"/>
                <w:sz w:val="24"/>
                <w:szCs w:val="24"/>
              </w:rPr>
            </w:pPr>
            <w:r>
              <w:rPr>
                <w:rFonts w:ascii="宋体" w:eastAsia="宋体" w:hAnsi="宋体" w:hint="eastAsia"/>
                <w:sz w:val="24"/>
                <w:szCs w:val="24"/>
              </w:rPr>
              <w:t>公司光伏装备业务受光</w:t>
            </w:r>
            <w:proofErr w:type="gramStart"/>
            <w:r>
              <w:rPr>
                <w:rFonts w:ascii="宋体" w:eastAsia="宋体" w:hAnsi="宋体" w:hint="eastAsia"/>
                <w:sz w:val="24"/>
                <w:szCs w:val="24"/>
              </w:rPr>
              <w:t>伏投资</w:t>
            </w:r>
            <w:proofErr w:type="gramEnd"/>
            <w:r>
              <w:rPr>
                <w:rFonts w:ascii="宋体" w:eastAsia="宋体" w:hAnsi="宋体" w:hint="eastAsia"/>
                <w:sz w:val="24"/>
                <w:szCs w:val="24"/>
              </w:rPr>
              <w:t>下行的影响新增订单需求较少，仍然存在应收账款进一步计提坏账损失的可能。因此，光伏装备业务对业绩的不利影响在未来一段时间内仍然存在。</w:t>
            </w:r>
          </w:p>
          <w:p w14:paraId="2DAA18B8" w14:textId="77777777" w:rsidR="004F1B2E" w:rsidRDefault="002A61D6">
            <w:pPr>
              <w:widowControl/>
              <w:spacing w:line="360" w:lineRule="auto"/>
              <w:rPr>
                <w:rFonts w:ascii="宋体" w:eastAsia="宋体" w:hAnsi="宋体"/>
                <w:sz w:val="24"/>
                <w:szCs w:val="24"/>
              </w:rPr>
            </w:pPr>
            <w:r>
              <w:rPr>
                <w:rFonts w:ascii="宋体" w:eastAsia="宋体" w:hAnsi="宋体" w:hint="eastAsia"/>
                <w:b/>
                <w:bCs/>
                <w:sz w:val="24"/>
                <w:szCs w:val="24"/>
              </w:rPr>
              <w:t>3、能否阐述一下铌酸锂材料在光模块中应用是否成为主流？</w:t>
            </w:r>
          </w:p>
          <w:p w14:paraId="5A2E3F2B" w14:textId="77777777" w:rsidR="004F1B2E" w:rsidRDefault="002A61D6">
            <w:pPr>
              <w:widowControl/>
              <w:spacing w:line="360" w:lineRule="auto"/>
              <w:rPr>
                <w:rFonts w:ascii="宋体" w:eastAsia="宋体" w:hAnsi="宋体"/>
                <w:sz w:val="24"/>
                <w:szCs w:val="24"/>
              </w:rPr>
            </w:pPr>
            <w:r>
              <w:rPr>
                <w:rFonts w:ascii="宋体" w:eastAsia="宋体" w:hAnsi="宋体" w:hint="eastAsia"/>
                <w:sz w:val="24"/>
                <w:szCs w:val="24"/>
              </w:rPr>
              <w:t>铌酸锂晶体材料下游应用在“光进铜退”光通信领域产业技术变革中预期受益。数据中心</w:t>
            </w:r>
            <w:proofErr w:type="gramStart"/>
            <w:r>
              <w:rPr>
                <w:rFonts w:ascii="宋体" w:eastAsia="宋体" w:hAnsi="宋体" w:hint="eastAsia"/>
                <w:sz w:val="24"/>
                <w:szCs w:val="24"/>
              </w:rPr>
              <w:t>对于算力密度</w:t>
            </w:r>
            <w:proofErr w:type="gramEnd"/>
            <w:r>
              <w:rPr>
                <w:rFonts w:ascii="宋体" w:eastAsia="宋体" w:hAnsi="宋体" w:hint="eastAsia"/>
                <w:sz w:val="24"/>
                <w:szCs w:val="24"/>
              </w:rPr>
              <w:t>、时延要求、功耗散热等材料性能要求越来越高。而铌酸锂晶体材料相较</w:t>
            </w:r>
            <w:proofErr w:type="gramStart"/>
            <w:r>
              <w:rPr>
                <w:rFonts w:ascii="宋体" w:eastAsia="宋体" w:hAnsi="宋体" w:hint="eastAsia"/>
                <w:sz w:val="24"/>
                <w:szCs w:val="24"/>
              </w:rPr>
              <w:t>于硅光</w:t>
            </w:r>
            <w:proofErr w:type="gramEnd"/>
            <w:r>
              <w:rPr>
                <w:rFonts w:ascii="宋体" w:eastAsia="宋体" w:hAnsi="宋体" w:hint="eastAsia"/>
                <w:sz w:val="24"/>
                <w:szCs w:val="24"/>
              </w:rPr>
              <w:t>等其他材料来说显示出优异的性能优势。根据产业调研，3.2T及以上的高速率光模块中调制调节器采用铌酸锂材料的技术路线预期将成为下游客户的主流方案。</w:t>
            </w:r>
          </w:p>
          <w:p w14:paraId="57A12B1E" w14:textId="77777777" w:rsidR="004F1B2E" w:rsidRDefault="002A61D6">
            <w:pPr>
              <w:widowControl/>
              <w:spacing w:line="360" w:lineRule="auto"/>
              <w:rPr>
                <w:rFonts w:ascii="宋体" w:eastAsia="宋体" w:hAnsi="宋体"/>
                <w:b/>
                <w:bCs/>
                <w:sz w:val="24"/>
                <w:szCs w:val="24"/>
              </w:rPr>
            </w:pPr>
            <w:r>
              <w:rPr>
                <w:rFonts w:ascii="宋体" w:eastAsia="宋体" w:hAnsi="宋体" w:hint="eastAsia"/>
                <w:b/>
                <w:bCs/>
                <w:sz w:val="24"/>
                <w:szCs w:val="24"/>
              </w:rPr>
              <w:t>4、贵司的铌酸锂晶体材料业务未来的产能规划如何？</w:t>
            </w:r>
          </w:p>
          <w:p w14:paraId="0657FA3D" w14:textId="321A9A33" w:rsidR="004F1B2E" w:rsidRDefault="002A61D6">
            <w:pPr>
              <w:widowControl/>
              <w:spacing w:line="360" w:lineRule="auto"/>
              <w:rPr>
                <w:rFonts w:ascii="宋体" w:eastAsia="宋体" w:hAnsi="宋体"/>
                <w:sz w:val="24"/>
                <w:szCs w:val="24"/>
              </w:rPr>
            </w:pPr>
            <w:r>
              <w:rPr>
                <w:rFonts w:ascii="宋体" w:eastAsia="宋体" w:hAnsi="宋体" w:hint="eastAsia"/>
                <w:sz w:val="24"/>
                <w:szCs w:val="24"/>
              </w:rPr>
              <w:t>根据2025年12月30日发布的</w:t>
            </w:r>
            <w:proofErr w:type="gramStart"/>
            <w:r>
              <w:rPr>
                <w:rFonts w:ascii="宋体" w:eastAsia="宋体" w:hAnsi="宋体" w:hint="eastAsia"/>
                <w:sz w:val="24"/>
                <w:szCs w:val="24"/>
              </w:rPr>
              <w:t>募投项目</w:t>
            </w:r>
            <w:proofErr w:type="gramEnd"/>
            <w:r>
              <w:rPr>
                <w:rFonts w:ascii="宋体" w:eastAsia="宋体" w:hAnsi="宋体" w:hint="eastAsia"/>
                <w:sz w:val="24"/>
                <w:szCs w:val="24"/>
              </w:rPr>
              <w:t>调整公告，公司计划于2029年12月实现168万片的压电晶圆产能以及42万片压电异质晶圆，合计210万片。</w:t>
            </w:r>
            <w:r w:rsidR="00024AB4" w:rsidRPr="00450722">
              <w:rPr>
                <w:rFonts w:ascii="宋体" w:eastAsia="宋体" w:hAnsi="宋体" w:hint="eastAsia"/>
                <w:sz w:val="24"/>
                <w:szCs w:val="24"/>
              </w:rPr>
              <w:t>目前，该</w:t>
            </w:r>
            <w:proofErr w:type="gramStart"/>
            <w:r w:rsidR="00024AB4" w:rsidRPr="00450722">
              <w:rPr>
                <w:rFonts w:ascii="宋体" w:eastAsia="宋体" w:hAnsi="宋体" w:hint="eastAsia"/>
                <w:sz w:val="24"/>
                <w:szCs w:val="24"/>
              </w:rPr>
              <w:t>募投项目</w:t>
            </w:r>
            <w:proofErr w:type="gramEnd"/>
            <w:r w:rsidR="00024AB4" w:rsidRPr="00450722">
              <w:rPr>
                <w:rFonts w:ascii="宋体" w:eastAsia="宋体" w:hAnsi="宋体" w:hint="eastAsia"/>
                <w:sz w:val="24"/>
                <w:szCs w:val="24"/>
              </w:rPr>
              <w:t>的产能和销量均不大，对公司经营业绩影响较小，请投资者注意投资风险。</w:t>
            </w:r>
          </w:p>
          <w:p w14:paraId="094EE8C9" w14:textId="77777777" w:rsidR="004F1B2E" w:rsidRDefault="002A61D6">
            <w:pPr>
              <w:widowControl/>
              <w:spacing w:line="360" w:lineRule="auto"/>
              <w:rPr>
                <w:rFonts w:ascii="宋体" w:eastAsia="宋体" w:hAnsi="宋体"/>
                <w:b/>
                <w:bCs/>
                <w:sz w:val="24"/>
                <w:szCs w:val="24"/>
              </w:rPr>
            </w:pPr>
            <w:r>
              <w:rPr>
                <w:rFonts w:ascii="宋体" w:eastAsia="宋体" w:hAnsi="宋体" w:hint="eastAsia"/>
                <w:b/>
                <w:bCs/>
                <w:sz w:val="24"/>
                <w:szCs w:val="24"/>
              </w:rPr>
              <w:t>5、贵司的铌酸锂业务的技术门槛如何？</w:t>
            </w:r>
          </w:p>
          <w:p w14:paraId="11C0F02A" w14:textId="77777777" w:rsidR="004F1B2E" w:rsidRDefault="002A61D6">
            <w:pPr>
              <w:widowControl/>
              <w:spacing w:line="360" w:lineRule="auto"/>
              <w:rPr>
                <w:rFonts w:ascii="宋体" w:eastAsia="宋体" w:hAnsi="宋体"/>
                <w:sz w:val="24"/>
                <w:szCs w:val="24"/>
              </w:rPr>
            </w:pPr>
            <w:r>
              <w:rPr>
                <w:rFonts w:ascii="宋体" w:eastAsia="宋体" w:hAnsi="宋体"/>
                <w:sz w:val="24"/>
                <w:szCs w:val="24"/>
              </w:rPr>
              <w:t>2016年‌</w:t>
            </w:r>
            <w:r>
              <w:rPr>
                <w:rFonts w:ascii="宋体" w:eastAsia="宋体" w:hAnsi="宋体" w:hint="eastAsia"/>
                <w:sz w:val="24"/>
                <w:szCs w:val="24"/>
              </w:rPr>
              <w:t>，</w:t>
            </w:r>
            <w:r>
              <w:rPr>
                <w:rFonts w:ascii="宋体" w:eastAsia="宋体" w:hAnsi="宋体"/>
                <w:sz w:val="24"/>
                <w:szCs w:val="24"/>
              </w:rPr>
              <w:t>公司依托在蓝宝石晶体领域的技术积累，联合清华大学开始攻关压电晶体材料（包括铌酸锂），并建成自主生产线，正式切入该赛道</w:t>
            </w:r>
            <w:r>
              <w:rPr>
                <w:rFonts w:ascii="宋体" w:eastAsia="宋体" w:hAnsi="宋体" w:hint="eastAsia"/>
                <w:sz w:val="24"/>
                <w:szCs w:val="24"/>
              </w:rPr>
              <w:t>。目前，公司</w:t>
            </w:r>
            <w:r>
              <w:rPr>
                <w:rFonts w:ascii="宋体" w:eastAsia="宋体" w:hAnsi="宋体"/>
                <w:sz w:val="24"/>
                <w:szCs w:val="24"/>
              </w:rPr>
              <w:t>已实现‌8英寸铌酸锂单晶</w:t>
            </w:r>
            <w:r>
              <w:rPr>
                <w:rFonts w:ascii="宋体" w:eastAsia="宋体" w:hAnsi="宋体" w:hint="eastAsia"/>
                <w:sz w:val="24"/>
                <w:szCs w:val="24"/>
              </w:rPr>
              <w:t>及晶片</w:t>
            </w:r>
            <w:r>
              <w:rPr>
                <w:rFonts w:ascii="宋体" w:eastAsia="宋体" w:hAnsi="宋体"/>
                <w:sz w:val="24"/>
                <w:szCs w:val="24"/>
              </w:rPr>
              <w:t>量产</w:t>
            </w:r>
            <w:r>
              <w:rPr>
                <w:rFonts w:ascii="宋体" w:eastAsia="宋体" w:hAnsi="宋体" w:hint="eastAsia"/>
                <w:sz w:val="24"/>
                <w:szCs w:val="24"/>
              </w:rPr>
              <w:t>。</w:t>
            </w:r>
            <w:r>
              <w:rPr>
                <w:rFonts w:ascii="宋体" w:eastAsia="宋体" w:hAnsi="宋体"/>
                <w:sz w:val="24"/>
                <w:szCs w:val="24"/>
              </w:rPr>
              <w:t>铌酸锂晶体需在高温、高纯度环境下生长，且对缺陷密度、厚度偏差</w:t>
            </w:r>
            <w:r>
              <w:rPr>
                <w:rFonts w:ascii="宋体" w:eastAsia="宋体" w:hAnsi="宋体" w:hint="eastAsia"/>
                <w:sz w:val="24"/>
                <w:szCs w:val="24"/>
              </w:rPr>
              <w:t>、</w:t>
            </w:r>
            <w:r>
              <w:rPr>
                <w:rFonts w:ascii="宋体" w:eastAsia="宋体" w:hAnsi="宋体"/>
                <w:sz w:val="24"/>
                <w:szCs w:val="24"/>
              </w:rPr>
              <w:t>光学均匀性要求极为严苛</w:t>
            </w:r>
            <w:r>
              <w:rPr>
                <w:rFonts w:ascii="宋体" w:eastAsia="宋体" w:hAnsi="宋体" w:hint="eastAsia"/>
                <w:sz w:val="24"/>
                <w:szCs w:val="24"/>
              </w:rPr>
              <w:t>，因此该业务技术门槛较高。</w:t>
            </w:r>
          </w:p>
          <w:p w14:paraId="3B57851F" w14:textId="77777777" w:rsidR="004F1B2E" w:rsidRDefault="002A61D6">
            <w:pPr>
              <w:widowControl/>
              <w:spacing w:line="360" w:lineRule="auto"/>
              <w:rPr>
                <w:rFonts w:ascii="宋体" w:eastAsia="宋体" w:hAnsi="宋体"/>
                <w:b/>
                <w:bCs/>
                <w:sz w:val="24"/>
                <w:szCs w:val="24"/>
              </w:rPr>
            </w:pPr>
            <w:r>
              <w:rPr>
                <w:rFonts w:ascii="宋体" w:eastAsia="宋体" w:hAnsi="宋体" w:hint="eastAsia"/>
                <w:b/>
                <w:bCs/>
                <w:sz w:val="24"/>
                <w:szCs w:val="24"/>
              </w:rPr>
              <w:lastRenderedPageBreak/>
              <w:t>6、能否简要阐述</w:t>
            </w:r>
            <w:proofErr w:type="gramStart"/>
            <w:r>
              <w:rPr>
                <w:rFonts w:ascii="宋体" w:eastAsia="宋体" w:hAnsi="宋体" w:hint="eastAsia"/>
                <w:b/>
                <w:bCs/>
                <w:sz w:val="24"/>
                <w:szCs w:val="24"/>
              </w:rPr>
              <w:t>一下贵</w:t>
            </w:r>
            <w:proofErr w:type="gramEnd"/>
            <w:r>
              <w:rPr>
                <w:rFonts w:ascii="宋体" w:eastAsia="宋体" w:hAnsi="宋体" w:hint="eastAsia"/>
                <w:b/>
                <w:bCs/>
                <w:sz w:val="24"/>
                <w:szCs w:val="24"/>
              </w:rPr>
              <w:t>司与</w:t>
            </w:r>
            <w:proofErr w:type="gramStart"/>
            <w:r>
              <w:rPr>
                <w:rFonts w:ascii="宋体" w:eastAsia="宋体" w:hAnsi="宋体" w:hint="eastAsia"/>
                <w:b/>
                <w:bCs/>
                <w:sz w:val="24"/>
                <w:szCs w:val="24"/>
              </w:rPr>
              <w:t>青禾在异质</w:t>
            </w:r>
            <w:proofErr w:type="gramEnd"/>
            <w:r>
              <w:rPr>
                <w:rFonts w:ascii="宋体" w:eastAsia="宋体" w:hAnsi="宋体" w:hint="eastAsia"/>
                <w:b/>
                <w:bCs/>
                <w:sz w:val="24"/>
                <w:szCs w:val="24"/>
              </w:rPr>
              <w:t>压电晶</w:t>
            </w:r>
            <w:proofErr w:type="gramStart"/>
            <w:r>
              <w:rPr>
                <w:rFonts w:ascii="宋体" w:eastAsia="宋体" w:hAnsi="宋体" w:hint="eastAsia"/>
                <w:b/>
                <w:bCs/>
                <w:sz w:val="24"/>
                <w:szCs w:val="24"/>
              </w:rPr>
              <w:t>圆方面</w:t>
            </w:r>
            <w:proofErr w:type="gramEnd"/>
            <w:r>
              <w:rPr>
                <w:rFonts w:ascii="宋体" w:eastAsia="宋体" w:hAnsi="宋体" w:hint="eastAsia"/>
                <w:b/>
                <w:bCs/>
                <w:sz w:val="24"/>
                <w:szCs w:val="24"/>
              </w:rPr>
              <w:t>的合作情况？</w:t>
            </w:r>
          </w:p>
          <w:p w14:paraId="1D687366" w14:textId="77777777" w:rsidR="004F1B2E" w:rsidRDefault="002A61D6">
            <w:pPr>
              <w:widowControl/>
              <w:spacing w:line="360" w:lineRule="auto"/>
              <w:rPr>
                <w:rFonts w:ascii="宋体" w:eastAsia="宋体" w:hAnsi="宋体"/>
                <w:bCs/>
                <w:sz w:val="24"/>
                <w:szCs w:val="24"/>
              </w:rPr>
            </w:pPr>
            <w:r>
              <w:rPr>
                <w:rFonts w:ascii="宋体" w:eastAsia="宋体" w:hAnsi="宋体" w:hint="eastAsia"/>
                <w:sz w:val="24"/>
                <w:szCs w:val="24"/>
              </w:rPr>
              <w:t>我司与青</w:t>
            </w:r>
            <w:proofErr w:type="gramStart"/>
            <w:r>
              <w:rPr>
                <w:rFonts w:ascii="宋体" w:eastAsia="宋体" w:hAnsi="宋体" w:hint="eastAsia"/>
                <w:sz w:val="24"/>
                <w:szCs w:val="24"/>
              </w:rPr>
              <w:t>禾晶元</w:t>
            </w:r>
            <w:proofErr w:type="gramEnd"/>
            <w:r>
              <w:rPr>
                <w:rFonts w:ascii="宋体" w:eastAsia="宋体" w:hAnsi="宋体" w:hint="eastAsia"/>
                <w:sz w:val="24"/>
                <w:szCs w:val="24"/>
              </w:rPr>
              <w:t>合作，共同构建从“铌酸锂单晶-铌酸锂晶片-异质集成装备-铌酸锂异质薄膜晶圆”的全产业</w:t>
            </w:r>
            <w:proofErr w:type="gramStart"/>
            <w:r>
              <w:rPr>
                <w:rFonts w:ascii="宋体" w:eastAsia="宋体" w:hAnsi="宋体" w:hint="eastAsia"/>
                <w:sz w:val="24"/>
                <w:szCs w:val="24"/>
              </w:rPr>
              <w:t>链技术</w:t>
            </w:r>
            <w:proofErr w:type="gramEnd"/>
            <w:r>
              <w:rPr>
                <w:rFonts w:ascii="宋体" w:eastAsia="宋体" w:hAnsi="宋体" w:hint="eastAsia"/>
                <w:sz w:val="24"/>
                <w:szCs w:val="24"/>
              </w:rPr>
              <w:t>壁垒，共同攻关</w:t>
            </w:r>
            <w:r>
              <w:rPr>
                <w:rFonts w:ascii="宋体" w:eastAsia="宋体" w:hAnsi="宋体"/>
                <w:sz w:val="24"/>
                <w:szCs w:val="24"/>
              </w:rPr>
              <w:t>低损伤表面活化、</w:t>
            </w:r>
            <w:proofErr w:type="gramStart"/>
            <w:r>
              <w:rPr>
                <w:rFonts w:ascii="宋体" w:eastAsia="宋体" w:hAnsi="宋体"/>
                <w:sz w:val="24"/>
                <w:szCs w:val="24"/>
              </w:rPr>
              <w:t>高质量键合技术</w:t>
            </w:r>
            <w:proofErr w:type="gramEnd"/>
            <w:r>
              <w:rPr>
                <w:rFonts w:ascii="宋体" w:eastAsia="宋体" w:hAnsi="宋体"/>
                <w:sz w:val="24"/>
                <w:szCs w:val="24"/>
              </w:rPr>
              <w:t>，共同优化异质集成工艺，提升产品良率与性能稳定性。‌</w:t>
            </w:r>
          </w:p>
        </w:tc>
      </w:tr>
    </w:tbl>
    <w:p w14:paraId="2C870782" w14:textId="77777777" w:rsidR="004F1B2E" w:rsidRDefault="004F1B2E"/>
    <w:sectPr w:rsidR="004F1B2E">
      <w:footerReference w:type="default" r:id="rId7"/>
      <w:pgSz w:w="11906" w:h="16838"/>
      <w:pgMar w:top="1440" w:right="1800" w:bottom="141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F6CA" w14:textId="77777777" w:rsidR="007B3F29" w:rsidRDefault="007B3F29">
      <w:r>
        <w:separator/>
      </w:r>
    </w:p>
  </w:endnote>
  <w:endnote w:type="continuationSeparator" w:id="0">
    <w:p w14:paraId="20789708" w14:textId="77777777" w:rsidR="007B3F29" w:rsidRDefault="007B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5044" w14:textId="77777777" w:rsidR="004F1B2E" w:rsidRDefault="002A61D6">
    <w:pPr>
      <w:pStyle w:val="a5"/>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894FF" w14:textId="77777777" w:rsidR="007B3F29" w:rsidRDefault="007B3F29">
      <w:r>
        <w:separator/>
      </w:r>
    </w:p>
  </w:footnote>
  <w:footnote w:type="continuationSeparator" w:id="0">
    <w:p w14:paraId="6577D989" w14:textId="77777777" w:rsidR="007B3F29" w:rsidRDefault="007B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FAC4549"/>
    <w:lvl w:ilvl="0">
      <w:start w:val="1"/>
      <w:numFmt w:val="chineseCounting"/>
      <w:suff w:val="nothing"/>
      <w:lvlText w:val="%1、"/>
      <w:lvlJc w:val="left"/>
      <w:rPr>
        <w:rFonts w:hint="eastAsia"/>
      </w:rPr>
    </w:lvl>
  </w:abstractNum>
  <w:abstractNum w:abstractNumId="1" w15:restartNumberingAfterBreak="0">
    <w:nsid w:val="0E9F0E5F"/>
    <w:multiLevelType w:val="singleLevel"/>
    <w:tmpl w:val="13E5F291"/>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B2E"/>
    <w:rsid w:val="00024AB4"/>
    <w:rsid w:val="002A61D6"/>
    <w:rsid w:val="00450722"/>
    <w:rsid w:val="004F1B2E"/>
    <w:rsid w:val="006B13D8"/>
    <w:rsid w:val="007B3F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0084C"/>
  <w15:docId w15:val="{B2573069-157F-48C7-AF89-1B578C21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qFormat/>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吴建美</dc:creator>
  <cp:lastModifiedBy>吴建美</cp:lastModifiedBy>
  <cp:revision>10</cp:revision>
  <cp:lastPrinted>2023-07-03T06:00:00Z</cp:lastPrinted>
  <dcterms:created xsi:type="dcterms:W3CDTF">2024-11-05T02:03:00Z</dcterms:created>
  <dcterms:modified xsi:type="dcterms:W3CDTF">2026-04-29T03:34:00Z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6BCFCA20DF6F4FD9B37744B632DDE1C8_13</vt:lpwstr>
  </property>
  <property fmtid="{D5CDD505-2E9C-101B-9397-08002B2CF9AE}" pid="4" name="KSOTemplateDocerSaveRecord">
    <vt:lpwstr>eyJoZGlkIjoiNTM1OTI4NjM5ZGIwODMyOGY4ZTIyODRhZDgyYzYzYzYiLCJ1c2VySWQiOiIzODQ2NzQxODcifQ==</vt:lpwstr>
  </property>
</Properties>
</file>