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67A05" w14:textId="77777777" w:rsidR="00E14023" w:rsidRDefault="00FD650C">
      <w:pPr>
        <w:spacing w:afterLines="100" w:after="312" w:line="400" w:lineRule="exact"/>
        <w:rPr>
          <w:b/>
          <w:bCs/>
          <w:iCs/>
          <w:color w:val="000000"/>
          <w:sz w:val="32"/>
          <w:szCs w:val="32"/>
        </w:rPr>
      </w:pPr>
      <w:r>
        <w:rPr>
          <w:b/>
          <w:bCs/>
          <w:iCs/>
          <w:color w:val="000000"/>
          <w:sz w:val="24"/>
        </w:rPr>
        <w:t>证券代码：</w:t>
      </w:r>
      <w:r>
        <w:rPr>
          <w:b/>
          <w:bCs/>
          <w:iCs/>
          <w:color w:val="000000"/>
          <w:sz w:val="24"/>
        </w:rPr>
        <w:t xml:space="preserve">603169                               </w:t>
      </w:r>
      <w:r>
        <w:rPr>
          <w:rFonts w:hint="eastAsia"/>
          <w:b/>
          <w:bCs/>
          <w:iCs/>
          <w:color w:val="000000"/>
          <w:sz w:val="24"/>
        </w:rPr>
        <w:t xml:space="preserve">                                    </w:t>
      </w:r>
      <w:r>
        <w:rPr>
          <w:b/>
          <w:bCs/>
          <w:iCs/>
          <w:color w:val="000000"/>
          <w:sz w:val="24"/>
        </w:rPr>
        <w:t xml:space="preserve"> </w:t>
      </w:r>
      <w:r>
        <w:rPr>
          <w:b/>
          <w:bCs/>
          <w:iCs/>
          <w:color w:val="000000"/>
          <w:sz w:val="24"/>
        </w:rPr>
        <w:t>证券简称：兰石重装</w:t>
      </w:r>
    </w:p>
    <w:p w14:paraId="50D1940C" w14:textId="77777777" w:rsidR="00E14023" w:rsidRDefault="00FD650C">
      <w:pPr>
        <w:spacing w:afterLines="50" w:after="156" w:line="400" w:lineRule="exact"/>
        <w:jc w:val="center"/>
        <w:rPr>
          <w:b/>
          <w:bCs/>
          <w:iCs/>
          <w:color w:val="000000"/>
          <w:sz w:val="32"/>
          <w:szCs w:val="32"/>
        </w:rPr>
      </w:pPr>
      <w:r>
        <w:rPr>
          <w:b/>
          <w:bCs/>
          <w:iCs/>
          <w:color w:val="000000"/>
          <w:sz w:val="32"/>
          <w:szCs w:val="32"/>
        </w:rPr>
        <w:t>兰州兰石重型装备股份有限公司投资者关系活动记录表</w:t>
      </w:r>
    </w:p>
    <w:p w14:paraId="51A5602F" w14:textId="77777777" w:rsidR="00E14023" w:rsidRDefault="00FD650C">
      <w:pPr>
        <w:spacing w:line="400" w:lineRule="exact"/>
        <w:rPr>
          <w:bCs/>
          <w:iCs/>
          <w:color w:val="000000"/>
          <w:sz w:val="24"/>
        </w:rPr>
      </w:pPr>
      <w:r>
        <w:rPr>
          <w:bCs/>
          <w:iCs/>
          <w:color w:val="000000"/>
          <w:sz w:val="24"/>
        </w:rPr>
        <w:t xml:space="preserve">                                                         202</w:t>
      </w:r>
      <w:r>
        <w:rPr>
          <w:rFonts w:hint="eastAsia"/>
          <w:bCs/>
          <w:iCs/>
          <w:color w:val="000000"/>
          <w:sz w:val="24"/>
        </w:rPr>
        <w:t>6</w:t>
      </w:r>
      <w:r>
        <w:rPr>
          <w:bCs/>
          <w:iCs/>
          <w:color w:val="000000"/>
          <w:sz w:val="24"/>
        </w:rPr>
        <w:t>年</w:t>
      </w:r>
      <w:r>
        <w:rPr>
          <w:rFonts w:hint="eastAsia"/>
          <w:bCs/>
          <w:iCs/>
          <w:color w:val="000000"/>
          <w:sz w:val="24"/>
        </w:rPr>
        <w:t>4</w:t>
      </w:r>
      <w:r>
        <w:rPr>
          <w:bCs/>
          <w:iCs/>
          <w:color w:val="000000"/>
          <w:sz w:val="24"/>
        </w:rPr>
        <w:t>月</w:t>
      </w:r>
      <w:r>
        <w:rPr>
          <w:rFonts w:hint="eastAsia"/>
          <w:bCs/>
          <w:iCs/>
          <w:color w:val="000000"/>
          <w:sz w:val="24"/>
        </w:rPr>
        <w:t>28</w:t>
      </w:r>
      <w:r>
        <w:rPr>
          <w:bCs/>
          <w:iCs/>
          <w:color w:val="000000"/>
          <w:sz w:val="24"/>
        </w:rPr>
        <w:t>日</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751"/>
      </w:tblGrid>
      <w:tr w:rsidR="00E14023" w14:paraId="6878EF2C" w14:textId="77777777">
        <w:trPr>
          <w:trHeight w:val="2292"/>
          <w:jc w:val="center"/>
        </w:trPr>
        <w:tc>
          <w:tcPr>
            <w:tcW w:w="1701" w:type="dxa"/>
            <w:vAlign w:val="center"/>
          </w:tcPr>
          <w:p w14:paraId="5739BAAE" w14:textId="77777777" w:rsidR="00E14023" w:rsidRDefault="00FD650C">
            <w:pPr>
              <w:spacing w:line="360" w:lineRule="auto"/>
              <w:jc w:val="center"/>
              <w:rPr>
                <w:bCs/>
                <w:iCs/>
                <w:color w:val="000000"/>
                <w:sz w:val="24"/>
              </w:rPr>
            </w:pPr>
            <w:r>
              <w:rPr>
                <w:bCs/>
                <w:iCs/>
                <w:color w:val="000000"/>
                <w:sz w:val="24"/>
              </w:rPr>
              <w:t>投资者关系活动类别</w:t>
            </w:r>
          </w:p>
        </w:tc>
        <w:tc>
          <w:tcPr>
            <w:tcW w:w="6751" w:type="dxa"/>
            <w:vAlign w:val="center"/>
          </w:tcPr>
          <w:p w14:paraId="27E86532" w14:textId="77777777" w:rsidR="00E14023" w:rsidRDefault="00FD650C">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特定对象调研        </w:t>
            </w:r>
            <w:r>
              <w:rPr>
                <w:rFonts w:ascii="宋体" w:hAnsi="宋体" w:hint="eastAsia"/>
                <w:bCs/>
                <w:iCs/>
                <w:color w:val="000000"/>
                <w:sz w:val="22"/>
              </w:rPr>
              <w:t>□</w:t>
            </w:r>
            <w:r>
              <w:rPr>
                <w:rFonts w:ascii="宋体" w:hAnsi="宋体" w:hint="eastAsia"/>
                <w:sz w:val="22"/>
              </w:rPr>
              <w:t>分析师会议</w:t>
            </w:r>
          </w:p>
          <w:p w14:paraId="7142EC2F" w14:textId="77777777" w:rsidR="00E14023" w:rsidRDefault="00FD650C">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媒体采访            </w:t>
            </w:r>
            <w:r>
              <w:rPr>
                <w:rFonts w:ascii="宋体" w:hAnsi="宋体" w:hint="eastAsia"/>
                <w:bCs/>
                <w:iCs/>
                <w:color w:val="000000"/>
                <w:sz w:val="22"/>
              </w:rPr>
              <w:t>□</w:t>
            </w:r>
            <w:r>
              <w:rPr>
                <w:rFonts w:ascii="宋体" w:hAnsi="宋体" w:hint="eastAsia"/>
                <w:sz w:val="22"/>
              </w:rPr>
              <w:t>业绩说明会</w:t>
            </w:r>
          </w:p>
          <w:p w14:paraId="2296E329" w14:textId="77777777" w:rsidR="00E14023" w:rsidRDefault="00FD650C">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新闻发布会          </w:t>
            </w:r>
            <w:r>
              <w:rPr>
                <w:rFonts w:ascii="宋体" w:hAnsi="宋体" w:hint="eastAsia"/>
                <w:bCs/>
                <w:iCs/>
                <w:color w:val="000000"/>
                <w:sz w:val="22"/>
              </w:rPr>
              <w:t>□</w:t>
            </w:r>
            <w:r>
              <w:rPr>
                <w:rFonts w:ascii="宋体" w:hAnsi="宋体" w:hint="eastAsia"/>
                <w:sz w:val="22"/>
              </w:rPr>
              <w:t>路演活动</w:t>
            </w:r>
          </w:p>
          <w:p w14:paraId="5B846368" w14:textId="77777777" w:rsidR="00E14023" w:rsidRDefault="00FD650C">
            <w:pPr>
              <w:tabs>
                <w:tab w:val="left" w:pos="2580"/>
                <w:tab w:val="center" w:pos="3199"/>
              </w:tabs>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现场参观            </w:t>
            </w:r>
            <w:r>
              <w:rPr>
                <w:rFonts w:ascii="宋体" w:hAnsi="宋体" w:hint="eastAsia"/>
                <w:bCs/>
                <w:iCs/>
                <w:color w:val="000000"/>
                <w:sz w:val="22"/>
              </w:rPr>
              <w:t>□</w:t>
            </w:r>
            <w:r>
              <w:rPr>
                <w:rFonts w:ascii="宋体" w:hAnsi="宋体" w:hint="eastAsia"/>
                <w:sz w:val="22"/>
              </w:rPr>
              <w:t>一对一沟通</w:t>
            </w:r>
          </w:p>
          <w:p w14:paraId="6AB303DB" w14:textId="77777777" w:rsidR="00E14023" w:rsidRDefault="00FD650C">
            <w:pPr>
              <w:tabs>
                <w:tab w:val="center" w:pos="3199"/>
              </w:tabs>
              <w:spacing w:line="360" w:lineRule="auto"/>
              <w:rPr>
                <w:bCs/>
                <w:iCs/>
                <w:color w:val="000000"/>
                <w:sz w:val="24"/>
              </w:rPr>
            </w:pPr>
            <w:r>
              <w:rPr>
                <w:rFonts w:ascii="宋体" w:hAnsi="宋体" w:hint="eastAsia"/>
                <w:bCs/>
                <w:iCs/>
                <w:color w:val="000000"/>
                <w:sz w:val="22"/>
              </w:rPr>
              <w:t>□</w:t>
            </w:r>
            <w:r>
              <w:rPr>
                <w:rFonts w:ascii="宋体" w:hAnsi="宋体" w:hint="eastAsia"/>
                <w:sz w:val="22"/>
              </w:rPr>
              <w:t>其他（</w:t>
            </w:r>
            <w:proofErr w:type="gramStart"/>
            <w:r>
              <w:rPr>
                <w:rFonts w:ascii="宋体" w:hAnsi="宋体" w:hint="eastAsia"/>
                <w:sz w:val="22"/>
              </w:rPr>
              <w:t>请文字</w:t>
            </w:r>
            <w:proofErr w:type="gramEnd"/>
            <w:r>
              <w:rPr>
                <w:rFonts w:ascii="宋体" w:hAnsi="宋体" w:hint="eastAsia"/>
                <w:sz w:val="22"/>
              </w:rPr>
              <w:t>说明其他活动内容）</w:t>
            </w:r>
          </w:p>
        </w:tc>
      </w:tr>
      <w:tr w:rsidR="00E14023" w14:paraId="2467A006" w14:textId="77777777" w:rsidTr="00911A75">
        <w:trPr>
          <w:trHeight w:val="1686"/>
          <w:jc w:val="center"/>
        </w:trPr>
        <w:tc>
          <w:tcPr>
            <w:tcW w:w="1701" w:type="dxa"/>
            <w:vAlign w:val="center"/>
          </w:tcPr>
          <w:p w14:paraId="31BA3C03" w14:textId="77777777" w:rsidR="00E14023" w:rsidRDefault="00FD650C">
            <w:pPr>
              <w:jc w:val="center"/>
              <w:rPr>
                <w:bCs/>
                <w:iCs/>
                <w:color w:val="000000"/>
                <w:sz w:val="24"/>
              </w:rPr>
            </w:pPr>
            <w:r>
              <w:rPr>
                <w:bCs/>
                <w:iCs/>
                <w:color w:val="000000"/>
                <w:sz w:val="24"/>
              </w:rPr>
              <w:t>参与单位名称及人员姓名</w:t>
            </w:r>
          </w:p>
        </w:tc>
        <w:tc>
          <w:tcPr>
            <w:tcW w:w="6751" w:type="dxa"/>
            <w:vAlign w:val="center"/>
          </w:tcPr>
          <w:p w14:paraId="51B081DC" w14:textId="366D709D" w:rsidR="00E14023" w:rsidRDefault="00911A75" w:rsidP="00911A75">
            <w:pPr>
              <w:jc w:val="left"/>
              <w:rPr>
                <w:bCs/>
                <w:iCs/>
                <w:color w:val="000000"/>
                <w:sz w:val="24"/>
              </w:rPr>
            </w:pPr>
            <w:r>
              <w:rPr>
                <w:rFonts w:hint="eastAsia"/>
                <w:bCs/>
                <w:iCs/>
                <w:color w:val="000000"/>
                <w:sz w:val="24"/>
              </w:rPr>
              <w:t>中信建投：乔磊</w:t>
            </w:r>
            <w:r>
              <w:rPr>
                <w:rFonts w:hint="eastAsia"/>
                <w:bCs/>
                <w:iCs/>
                <w:color w:val="000000"/>
                <w:sz w:val="24"/>
              </w:rPr>
              <w:t>；</w:t>
            </w:r>
            <w:r w:rsidR="00FD650C">
              <w:rPr>
                <w:rFonts w:hint="eastAsia"/>
                <w:bCs/>
                <w:iCs/>
                <w:color w:val="000000"/>
                <w:sz w:val="24"/>
              </w:rPr>
              <w:t>中信证券：闵睿；光大证券：</w:t>
            </w:r>
            <w:proofErr w:type="gramStart"/>
            <w:r w:rsidR="00FD650C">
              <w:rPr>
                <w:rFonts w:hint="eastAsia"/>
                <w:bCs/>
                <w:iCs/>
                <w:color w:val="000000"/>
                <w:sz w:val="24"/>
              </w:rPr>
              <w:t>汲</w:t>
            </w:r>
            <w:proofErr w:type="gramEnd"/>
            <w:r w:rsidR="00FD650C">
              <w:rPr>
                <w:rFonts w:hint="eastAsia"/>
                <w:bCs/>
                <w:iCs/>
                <w:color w:val="000000"/>
                <w:sz w:val="24"/>
              </w:rPr>
              <w:t>萌；方正证券：张其超；进门财经：</w:t>
            </w:r>
            <w:proofErr w:type="gramStart"/>
            <w:r w:rsidR="00FD650C">
              <w:rPr>
                <w:rFonts w:hint="eastAsia"/>
                <w:bCs/>
                <w:iCs/>
                <w:color w:val="000000"/>
                <w:sz w:val="24"/>
              </w:rPr>
              <w:t>项正标</w:t>
            </w:r>
            <w:proofErr w:type="gramEnd"/>
            <w:r w:rsidR="00FD650C">
              <w:rPr>
                <w:rFonts w:hint="eastAsia"/>
                <w:bCs/>
                <w:iCs/>
                <w:color w:val="000000"/>
                <w:sz w:val="24"/>
              </w:rPr>
              <w:t>；华龙证券：景丹阳；国金证券：</w:t>
            </w:r>
            <w:proofErr w:type="gramStart"/>
            <w:r w:rsidR="00FD650C">
              <w:rPr>
                <w:rFonts w:hint="eastAsia"/>
                <w:bCs/>
                <w:iCs/>
                <w:color w:val="000000"/>
                <w:sz w:val="24"/>
              </w:rPr>
              <w:t>唐保威</w:t>
            </w:r>
            <w:proofErr w:type="gramEnd"/>
            <w:r w:rsidR="00FD650C">
              <w:rPr>
                <w:rFonts w:hint="eastAsia"/>
                <w:bCs/>
                <w:iCs/>
                <w:color w:val="000000"/>
                <w:sz w:val="24"/>
              </w:rPr>
              <w:t>；北信瑞丰基</w:t>
            </w:r>
            <w:r>
              <w:rPr>
                <w:rFonts w:hint="eastAsia"/>
                <w:bCs/>
                <w:iCs/>
                <w:color w:val="000000"/>
                <w:sz w:val="24"/>
              </w:rPr>
              <w:t>金：周向昉；华福证券：李嘉伦；兴业证券：姜昊；天风证券：艾方好</w:t>
            </w:r>
            <w:r w:rsidR="00FD650C">
              <w:rPr>
                <w:rFonts w:hint="eastAsia"/>
                <w:bCs/>
                <w:iCs/>
                <w:color w:val="000000"/>
                <w:sz w:val="24"/>
              </w:rPr>
              <w:t>。</w:t>
            </w:r>
          </w:p>
        </w:tc>
      </w:tr>
      <w:tr w:rsidR="00E14023" w14:paraId="7EB5707E" w14:textId="77777777">
        <w:trPr>
          <w:trHeight w:val="425"/>
          <w:jc w:val="center"/>
        </w:trPr>
        <w:tc>
          <w:tcPr>
            <w:tcW w:w="1701" w:type="dxa"/>
            <w:vAlign w:val="center"/>
          </w:tcPr>
          <w:p w14:paraId="2E2F8C10" w14:textId="77777777" w:rsidR="00E14023" w:rsidRDefault="00FD650C">
            <w:pPr>
              <w:jc w:val="center"/>
              <w:rPr>
                <w:bCs/>
                <w:iCs/>
                <w:color w:val="000000"/>
                <w:sz w:val="24"/>
              </w:rPr>
            </w:pPr>
            <w:r>
              <w:rPr>
                <w:bCs/>
                <w:iCs/>
                <w:color w:val="000000"/>
                <w:sz w:val="24"/>
              </w:rPr>
              <w:t>时间</w:t>
            </w:r>
          </w:p>
        </w:tc>
        <w:tc>
          <w:tcPr>
            <w:tcW w:w="6751" w:type="dxa"/>
            <w:vAlign w:val="center"/>
          </w:tcPr>
          <w:p w14:paraId="75910D99" w14:textId="77777777" w:rsidR="00E14023" w:rsidRDefault="00FD650C">
            <w:pPr>
              <w:jc w:val="left"/>
              <w:rPr>
                <w:bCs/>
                <w:iCs/>
                <w:color w:val="000000"/>
                <w:sz w:val="24"/>
              </w:rPr>
            </w:pPr>
            <w:r>
              <w:rPr>
                <w:bCs/>
                <w:iCs/>
                <w:color w:val="000000"/>
                <w:sz w:val="24"/>
              </w:rPr>
              <w:t>202</w:t>
            </w:r>
            <w:r>
              <w:rPr>
                <w:rFonts w:hint="eastAsia"/>
                <w:bCs/>
                <w:iCs/>
                <w:color w:val="000000"/>
                <w:sz w:val="24"/>
              </w:rPr>
              <w:t>6</w:t>
            </w:r>
            <w:r>
              <w:rPr>
                <w:bCs/>
                <w:iCs/>
                <w:color w:val="000000"/>
                <w:sz w:val="24"/>
              </w:rPr>
              <w:t>年</w:t>
            </w:r>
            <w:r>
              <w:rPr>
                <w:rFonts w:hint="eastAsia"/>
                <w:bCs/>
                <w:iCs/>
                <w:color w:val="000000"/>
                <w:sz w:val="24"/>
              </w:rPr>
              <w:t>4</w:t>
            </w:r>
            <w:r>
              <w:rPr>
                <w:bCs/>
                <w:iCs/>
                <w:color w:val="000000"/>
                <w:sz w:val="24"/>
              </w:rPr>
              <w:t>月</w:t>
            </w:r>
            <w:r>
              <w:rPr>
                <w:rFonts w:hint="eastAsia"/>
                <w:bCs/>
                <w:iCs/>
                <w:color w:val="000000"/>
                <w:sz w:val="24"/>
              </w:rPr>
              <w:t>28</w:t>
            </w:r>
            <w:r>
              <w:rPr>
                <w:bCs/>
                <w:iCs/>
                <w:color w:val="000000"/>
                <w:sz w:val="24"/>
              </w:rPr>
              <w:t>日</w:t>
            </w:r>
            <w:bookmarkStart w:id="0" w:name="_GoBack"/>
            <w:bookmarkEnd w:id="0"/>
          </w:p>
        </w:tc>
      </w:tr>
      <w:tr w:rsidR="00E14023" w14:paraId="6B000A85" w14:textId="77777777">
        <w:trPr>
          <w:trHeight w:val="403"/>
          <w:jc w:val="center"/>
        </w:trPr>
        <w:tc>
          <w:tcPr>
            <w:tcW w:w="1701" w:type="dxa"/>
            <w:vAlign w:val="center"/>
          </w:tcPr>
          <w:p w14:paraId="021DA31E" w14:textId="77777777" w:rsidR="00E14023" w:rsidRDefault="00FD650C">
            <w:pPr>
              <w:jc w:val="center"/>
              <w:rPr>
                <w:bCs/>
                <w:iCs/>
                <w:color w:val="000000"/>
                <w:sz w:val="24"/>
              </w:rPr>
            </w:pPr>
            <w:r>
              <w:rPr>
                <w:bCs/>
                <w:iCs/>
                <w:color w:val="000000"/>
                <w:sz w:val="24"/>
              </w:rPr>
              <w:t>地点</w:t>
            </w:r>
          </w:p>
        </w:tc>
        <w:tc>
          <w:tcPr>
            <w:tcW w:w="6751" w:type="dxa"/>
            <w:vAlign w:val="center"/>
          </w:tcPr>
          <w:p w14:paraId="5777E82E" w14:textId="77777777" w:rsidR="00E14023" w:rsidRDefault="00FD650C">
            <w:pPr>
              <w:jc w:val="left"/>
              <w:rPr>
                <w:bCs/>
                <w:iCs/>
                <w:color w:val="000000"/>
                <w:sz w:val="24"/>
              </w:rPr>
            </w:pPr>
            <w:r>
              <w:rPr>
                <w:rFonts w:hint="eastAsia"/>
                <w:bCs/>
                <w:iCs/>
                <w:color w:val="000000"/>
                <w:sz w:val="24"/>
              </w:rPr>
              <w:t>线上会议</w:t>
            </w:r>
          </w:p>
        </w:tc>
      </w:tr>
      <w:tr w:rsidR="00E14023" w14:paraId="2E54FBD2" w14:textId="77777777">
        <w:trPr>
          <w:trHeight w:val="727"/>
          <w:jc w:val="center"/>
        </w:trPr>
        <w:tc>
          <w:tcPr>
            <w:tcW w:w="1701" w:type="dxa"/>
            <w:vAlign w:val="center"/>
          </w:tcPr>
          <w:p w14:paraId="7C40B2D2" w14:textId="77777777" w:rsidR="00E14023" w:rsidRDefault="00FD650C">
            <w:pPr>
              <w:snapToGrid w:val="0"/>
              <w:jc w:val="center"/>
              <w:rPr>
                <w:bCs/>
                <w:iCs/>
                <w:color w:val="000000"/>
                <w:sz w:val="24"/>
              </w:rPr>
            </w:pPr>
            <w:r>
              <w:rPr>
                <w:bCs/>
                <w:iCs/>
                <w:color w:val="000000"/>
                <w:sz w:val="24"/>
              </w:rPr>
              <w:t>上市公司</w:t>
            </w:r>
          </w:p>
          <w:p w14:paraId="406A3B86" w14:textId="77777777" w:rsidR="00E14023" w:rsidRDefault="00FD650C">
            <w:pPr>
              <w:snapToGrid w:val="0"/>
              <w:jc w:val="center"/>
              <w:rPr>
                <w:bCs/>
                <w:iCs/>
                <w:color w:val="000000"/>
                <w:sz w:val="24"/>
              </w:rPr>
            </w:pPr>
            <w:r>
              <w:rPr>
                <w:bCs/>
                <w:iCs/>
                <w:color w:val="000000"/>
                <w:sz w:val="24"/>
              </w:rPr>
              <w:t>接待人员</w:t>
            </w:r>
          </w:p>
        </w:tc>
        <w:tc>
          <w:tcPr>
            <w:tcW w:w="6751" w:type="dxa"/>
            <w:vAlign w:val="center"/>
          </w:tcPr>
          <w:p w14:paraId="3F1AA948" w14:textId="77777777" w:rsidR="00E14023" w:rsidRDefault="00FD650C">
            <w:pPr>
              <w:snapToGrid w:val="0"/>
              <w:jc w:val="left"/>
              <w:rPr>
                <w:bCs/>
                <w:iCs/>
                <w:color w:val="000000"/>
                <w:sz w:val="24"/>
              </w:rPr>
            </w:pPr>
            <w:r>
              <w:rPr>
                <w:rFonts w:hint="eastAsia"/>
                <w:bCs/>
                <w:iCs/>
                <w:color w:val="000000"/>
                <w:sz w:val="24"/>
              </w:rPr>
              <w:t>董事会秘书武锐锐、证券事务代表周怀莲</w:t>
            </w:r>
          </w:p>
        </w:tc>
      </w:tr>
      <w:tr w:rsidR="00E14023" w14:paraId="46B5A31C" w14:textId="77777777">
        <w:trPr>
          <w:jc w:val="center"/>
        </w:trPr>
        <w:tc>
          <w:tcPr>
            <w:tcW w:w="1701" w:type="dxa"/>
            <w:vAlign w:val="center"/>
          </w:tcPr>
          <w:p w14:paraId="7BD14108" w14:textId="77777777" w:rsidR="00E14023" w:rsidRDefault="00FD650C">
            <w:pPr>
              <w:spacing w:line="360" w:lineRule="auto"/>
              <w:jc w:val="center"/>
              <w:rPr>
                <w:bCs/>
                <w:iCs/>
                <w:color w:val="000000"/>
                <w:sz w:val="24"/>
              </w:rPr>
            </w:pPr>
            <w:r>
              <w:rPr>
                <w:bCs/>
                <w:iCs/>
                <w:color w:val="000000"/>
                <w:sz w:val="24"/>
              </w:rPr>
              <w:t>投资者关系活动主要内容介绍</w:t>
            </w:r>
          </w:p>
        </w:tc>
        <w:tc>
          <w:tcPr>
            <w:tcW w:w="6751" w:type="dxa"/>
            <w:vAlign w:val="center"/>
          </w:tcPr>
          <w:p w14:paraId="0BB26F2A" w14:textId="77777777" w:rsidR="00E14023" w:rsidRDefault="00FD650C">
            <w:pPr>
              <w:snapToGrid w:val="0"/>
              <w:spacing w:line="400" w:lineRule="exact"/>
              <w:ind w:firstLineChars="200" w:firstLine="482"/>
              <w:outlineLvl w:val="0"/>
              <w:rPr>
                <w:rFonts w:eastAsiaTheme="minorEastAsia"/>
                <w:b/>
                <w:sz w:val="24"/>
              </w:rPr>
            </w:pPr>
            <w:r>
              <w:rPr>
                <w:rFonts w:eastAsiaTheme="minorEastAsia"/>
                <w:b/>
                <w:sz w:val="24"/>
              </w:rPr>
              <w:t>一、公司基本情况</w:t>
            </w:r>
            <w:r>
              <w:rPr>
                <w:rFonts w:eastAsiaTheme="minorEastAsia" w:hint="eastAsia"/>
                <w:b/>
                <w:sz w:val="24"/>
              </w:rPr>
              <w:t>介绍</w:t>
            </w:r>
          </w:p>
          <w:p w14:paraId="4CA9D865" w14:textId="750F78B1" w:rsidR="00E14023" w:rsidRDefault="00FD650C">
            <w:pPr>
              <w:snapToGrid w:val="0"/>
              <w:spacing w:line="400" w:lineRule="exact"/>
              <w:ind w:firstLineChars="200" w:firstLine="480"/>
              <w:outlineLvl w:val="0"/>
              <w:rPr>
                <w:rFonts w:eastAsiaTheme="minorEastAsia"/>
                <w:sz w:val="24"/>
              </w:rPr>
            </w:pPr>
            <w:r>
              <w:rPr>
                <w:rFonts w:eastAsiaTheme="minorEastAsia"/>
                <w:sz w:val="24"/>
              </w:rPr>
              <w:t>兰石重装始建于</w:t>
            </w:r>
            <w:r>
              <w:rPr>
                <w:rFonts w:eastAsiaTheme="minorEastAsia"/>
                <w:sz w:val="24"/>
              </w:rPr>
              <w:t>1953</w:t>
            </w:r>
            <w:r>
              <w:rPr>
                <w:rFonts w:eastAsiaTheme="minorEastAsia"/>
                <w:sz w:val="24"/>
              </w:rPr>
              <w:t>年，</w:t>
            </w:r>
            <w:r>
              <w:rPr>
                <w:rFonts w:ascii="宋体" w:hAnsi="宋体" w:cs="宋体"/>
                <w:sz w:val="24"/>
              </w:rPr>
              <w:t>是国内能源化工装备领域的主要企业之一，也是工业母机（锻压装备）、</w:t>
            </w:r>
            <w:proofErr w:type="gramStart"/>
            <w:r>
              <w:rPr>
                <w:rFonts w:ascii="宋体" w:hAnsi="宋体" w:cs="宋体"/>
                <w:sz w:val="24"/>
              </w:rPr>
              <w:t>节能降碳装备</w:t>
            </w:r>
            <w:proofErr w:type="gramEnd"/>
            <w:r>
              <w:rPr>
                <w:rFonts w:ascii="宋体" w:hAnsi="宋体" w:cs="宋体"/>
                <w:sz w:val="24"/>
              </w:rPr>
              <w:t>、金属新材料等细分领域的核心企业之一。作为国内为数不多同时具备能源化工行业</w:t>
            </w:r>
            <w:proofErr w:type="gramStart"/>
            <w:r>
              <w:rPr>
                <w:rFonts w:ascii="宋体" w:hAnsi="宋体" w:cs="宋体"/>
                <w:sz w:val="24"/>
              </w:rPr>
              <w:t>专业甲级</w:t>
            </w:r>
            <w:proofErr w:type="gramEnd"/>
            <w:r>
              <w:rPr>
                <w:rFonts w:ascii="宋体" w:hAnsi="宋体" w:cs="宋体"/>
                <w:sz w:val="24"/>
              </w:rPr>
              <w:t>设计、工程总包资质、产品设计、原材料开发及核心装备制造能力的企业，“兰石</w:t>
            </w:r>
            <w:r w:rsidR="005434DE">
              <w:rPr>
                <w:rFonts w:ascii="宋体" w:hAnsi="宋体" w:cs="宋体"/>
                <w:sz w:val="24"/>
              </w:rPr>
              <w:t>”</w:t>
            </w:r>
            <w:r>
              <w:rPr>
                <w:rFonts w:ascii="宋体" w:hAnsi="宋体" w:cs="宋体"/>
                <w:sz w:val="24"/>
              </w:rPr>
              <w:t>品牌在市场中拥有良好的口碑和品牌形象，核心技术与产品也具备重要的市场影响力。</w:t>
            </w:r>
          </w:p>
          <w:p w14:paraId="7E61098A" w14:textId="77777777" w:rsidR="00E14023" w:rsidRDefault="00FD650C">
            <w:pPr>
              <w:snapToGrid w:val="0"/>
              <w:spacing w:line="400" w:lineRule="exact"/>
              <w:ind w:firstLineChars="200" w:firstLine="482"/>
              <w:outlineLvl w:val="0"/>
              <w:rPr>
                <w:rFonts w:eastAsiaTheme="minorEastAsia"/>
                <w:b/>
                <w:sz w:val="24"/>
              </w:rPr>
            </w:pPr>
            <w:r>
              <w:rPr>
                <w:rFonts w:eastAsiaTheme="minorEastAsia" w:hint="eastAsia"/>
                <w:b/>
                <w:sz w:val="24"/>
              </w:rPr>
              <w:t>二</w:t>
            </w:r>
            <w:r>
              <w:rPr>
                <w:rFonts w:eastAsiaTheme="minorEastAsia"/>
                <w:b/>
                <w:sz w:val="24"/>
              </w:rPr>
              <w:t>、提问交流环节</w:t>
            </w:r>
          </w:p>
          <w:p w14:paraId="3F7AA28B" w14:textId="77777777" w:rsidR="00E14023" w:rsidRDefault="00FD650C">
            <w:pPr>
              <w:snapToGrid w:val="0"/>
              <w:spacing w:line="400" w:lineRule="exact"/>
              <w:ind w:firstLineChars="200" w:firstLine="482"/>
              <w:outlineLvl w:val="0"/>
              <w:rPr>
                <w:rFonts w:eastAsiaTheme="minorEastAsia"/>
                <w:sz w:val="24"/>
              </w:rPr>
            </w:pPr>
            <w:r>
              <w:rPr>
                <w:rFonts w:eastAsiaTheme="minorEastAsia"/>
                <w:b/>
                <w:sz w:val="24"/>
              </w:rPr>
              <w:t>问题</w:t>
            </w:r>
            <w:r>
              <w:rPr>
                <w:rFonts w:eastAsiaTheme="minorEastAsia" w:hint="eastAsia"/>
                <w:b/>
                <w:sz w:val="24"/>
              </w:rPr>
              <w:t>1</w:t>
            </w:r>
            <w:r>
              <w:rPr>
                <w:rFonts w:eastAsiaTheme="minorEastAsia"/>
                <w:b/>
                <w:sz w:val="24"/>
              </w:rPr>
              <w:t>：</w:t>
            </w:r>
            <w:r>
              <w:rPr>
                <w:rFonts w:eastAsiaTheme="minorEastAsia" w:hint="eastAsia"/>
                <w:b/>
                <w:sz w:val="24"/>
              </w:rPr>
              <w:t>2025</w:t>
            </w:r>
            <w:r>
              <w:rPr>
                <w:rFonts w:eastAsiaTheme="minorEastAsia" w:hint="eastAsia"/>
                <w:b/>
                <w:sz w:val="24"/>
              </w:rPr>
              <w:t>年公司经营情况？</w:t>
            </w:r>
          </w:p>
          <w:p w14:paraId="4E6E99D6" w14:textId="77777777" w:rsidR="00E14023" w:rsidRDefault="00FD650C">
            <w:pPr>
              <w:snapToGrid w:val="0"/>
              <w:spacing w:line="400" w:lineRule="exact"/>
              <w:ind w:firstLineChars="200" w:firstLine="480"/>
              <w:outlineLvl w:val="0"/>
              <w:rPr>
                <w:rFonts w:eastAsiaTheme="minorEastAsia"/>
                <w:sz w:val="24"/>
              </w:rPr>
            </w:pPr>
            <w:r>
              <w:rPr>
                <w:rFonts w:eastAsiaTheme="minorEastAsia" w:hint="eastAsia"/>
                <w:sz w:val="24"/>
              </w:rPr>
              <w:t>2025</w:t>
            </w:r>
            <w:r>
              <w:rPr>
                <w:rFonts w:eastAsiaTheme="minorEastAsia" w:hint="eastAsia"/>
                <w:sz w:val="24"/>
              </w:rPr>
              <w:t>年</w:t>
            </w:r>
            <w:r>
              <w:rPr>
                <w:rFonts w:eastAsiaTheme="minorEastAsia"/>
                <w:sz w:val="24"/>
              </w:rPr>
              <w:t>公司实现营业收入</w:t>
            </w:r>
            <w:r>
              <w:rPr>
                <w:rFonts w:eastAsiaTheme="minorEastAsia"/>
                <w:sz w:val="24"/>
              </w:rPr>
              <w:t>64.86</w:t>
            </w:r>
            <w:r>
              <w:rPr>
                <w:rFonts w:eastAsiaTheme="minorEastAsia"/>
                <w:sz w:val="24"/>
              </w:rPr>
              <w:t>亿元，较上年同期增长</w:t>
            </w:r>
            <w:r>
              <w:rPr>
                <w:rFonts w:eastAsiaTheme="minorEastAsia"/>
                <w:sz w:val="24"/>
              </w:rPr>
              <w:t>12.00%</w:t>
            </w:r>
            <w:r>
              <w:rPr>
                <w:rFonts w:eastAsiaTheme="minorEastAsia"/>
                <w:sz w:val="24"/>
              </w:rPr>
              <w:t>，</w:t>
            </w:r>
            <w:r>
              <w:rPr>
                <w:rFonts w:eastAsiaTheme="minorEastAsia" w:hint="eastAsia"/>
                <w:sz w:val="24"/>
              </w:rPr>
              <w:t>尽管受大额的商誉减值和信用减值损失</w:t>
            </w:r>
            <w:r>
              <w:rPr>
                <w:rFonts w:eastAsiaTheme="minorEastAsia"/>
                <w:sz w:val="24"/>
              </w:rPr>
              <w:t>等因素影响，公司全年归属于上市公司股东的净利润为</w:t>
            </w:r>
            <w:r>
              <w:rPr>
                <w:rFonts w:eastAsiaTheme="minorEastAsia"/>
                <w:sz w:val="24"/>
              </w:rPr>
              <w:t>-5.96</w:t>
            </w:r>
            <w:r>
              <w:rPr>
                <w:rFonts w:eastAsiaTheme="minorEastAsia"/>
                <w:sz w:val="24"/>
              </w:rPr>
              <w:t>亿元</w:t>
            </w:r>
            <w:r>
              <w:rPr>
                <w:rFonts w:eastAsiaTheme="minorEastAsia" w:hint="eastAsia"/>
                <w:sz w:val="24"/>
              </w:rPr>
              <w:t>，但公司整体经营韧性凸显，业务结构持续优化，为后续业务发展打下较好的基础。</w:t>
            </w:r>
            <w:r>
              <w:rPr>
                <w:rFonts w:eastAsiaTheme="minorEastAsia"/>
                <w:sz w:val="24"/>
              </w:rPr>
              <w:t>2025</w:t>
            </w:r>
            <w:r>
              <w:rPr>
                <w:rFonts w:eastAsiaTheme="minorEastAsia"/>
                <w:sz w:val="24"/>
              </w:rPr>
              <w:t>年，公司实现新增订货</w:t>
            </w:r>
            <w:r>
              <w:rPr>
                <w:rFonts w:eastAsiaTheme="minorEastAsia"/>
                <w:sz w:val="24"/>
              </w:rPr>
              <w:t>82.56</w:t>
            </w:r>
            <w:r>
              <w:rPr>
                <w:rFonts w:eastAsiaTheme="minorEastAsia"/>
                <w:sz w:val="24"/>
              </w:rPr>
              <w:t>亿元，同比增长</w:t>
            </w:r>
            <w:r>
              <w:rPr>
                <w:rFonts w:eastAsiaTheme="minorEastAsia"/>
                <w:sz w:val="24"/>
              </w:rPr>
              <w:t>1.18%</w:t>
            </w:r>
            <w:r>
              <w:rPr>
                <w:rFonts w:eastAsiaTheme="minorEastAsia"/>
                <w:sz w:val="24"/>
              </w:rPr>
              <w:t>，</w:t>
            </w:r>
            <w:r>
              <w:rPr>
                <w:rFonts w:eastAsiaTheme="minorEastAsia" w:hint="eastAsia"/>
                <w:sz w:val="24"/>
              </w:rPr>
              <w:t>创历史新高；其中传统能源市场新增订单</w:t>
            </w:r>
            <w:r>
              <w:rPr>
                <w:rFonts w:eastAsiaTheme="minorEastAsia" w:hint="eastAsia"/>
                <w:sz w:val="24"/>
              </w:rPr>
              <w:t>37.11</w:t>
            </w:r>
            <w:r>
              <w:rPr>
                <w:rFonts w:eastAsiaTheme="minorEastAsia" w:hint="eastAsia"/>
                <w:sz w:val="24"/>
              </w:rPr>
              <w:t>亿元，同比下降</w:t>
            </w:r>
            <w:r>
              <w:rPr>
                <w:rFonts w:eastAsiaTheme="minorEastAsia" w:hint="eastAsia"/>
                <w:sz w:val="24"/>
              </w:rPr>
              <w:t>25.10%</w:t>
            </w:r>
            <w:r>
              <w:rPr>
                <w:rFonts w:eastAsiaTheme="minorEastAsia" w:hint="eastAsia"/>
                <w:sz w:val="24"/>
              </w:rPr>
              <w:t>；核能、氢能、储能等新能源装备订单达</w:t>
            </w:r>
            <w:r>
              <w:rPr>
                <w:rFonts w:eastAsiaTheme="minorEastAsia" w:hint="eastAsia"/>
                <w:sz w:val="24"/>
              </w:rPr>
              <w:t>13.89</w:t>
            </w:r>
            <w:r>
              <w:rPr>
                <w:rFonts w:eastAsiaTheme="minorEastAsia" w:hint="eastAsia"/>
                <w:sz w:val="24"/>
              </w:rPr>
              <w:t>亿元，同比增长</w:t>
            </w:r>
            <w:r>
              <w:rPr>
                <w:rFonts w:eastAsiaTheme="minorEastAsia" w:hint="eastAsia"/>
                <w:sz w:val="24"/>
              </w:rPr>
              <w:t>57.96%</w:t>
            </w:r>
            <w:r>
              <w:rPr>
                <w:rFonts w:eastAsiaTheme="minorEastAsia" w:hint="eastAsia"/>
                <w:sz w:val="24"/>
              </w:rPr>
              <w:t>；高端金属新材料订单</w:t>
            </w:r>
            <w:r>
              <w:rPr>
                <w:rFonts w:eastAsiaTheme="minorEastAsia" w:hint="eastAsia"/>
                <w:sz w:val="24"/>
              </w:rPr>
              <w:t>16.22</w:t>
            </w:r>
            <w:r>
              <w:rPr>
                <w:rFonts w:eastAsiaTheme="minorEastAsia" w:hint="eastAsia"/>
                <w:sz w:val="24"/>
              </w:rPr>
              <w:lastRenderedPageBreak/>
              <w:t>亿元，同比增长</w:t>
            </w:r>
            <w:r>
              <w:rPr>
                <w:rFonts w:eastAsiaTheme="minorEastAsia" w:hint="eastAsia"/>
                <w:sz w:val="24"/>
              </w:rPr>
              <w:t>76.80%</w:t>
            </w:r>
            <w:r>
              <w:rPr>
                <w:rFonts w:eastAsiaTheme="minorEastAsia" w:hint="eastAsia"/>
                <w:sz w:val="24"/>
              </w:rPr>
              <w:t>；工业母机订单</w:t>
            </w:r>
            <w:r>
              <w:rPr>
                <w:rFonts w:eastAsiaTheme="minorEastAsia" w:hint="eastAsia"/>
                <w:sz w:val="24"/>
              </w:rPr>
              <w:t>7.02</w:t>
            </w:r>
            <w:r>
              <w:rPr>
                <w:rFonts w:eastAsiaTheme="minorEastAsia" w:hint="eastAsia"/>
                <w:sz w:val="24"/>
              </w:rPr>
              <w:t>亿元，同比增长</w:t>
            </w:r>
            <w:r>
              <w:rPr>
                <w:rFonts w:eastAsiaTheme="minorEastAsia" w:hint="eastAsia"/>
                <w:sz w:val="24"/>
              </w:rPr>
              <w:t>16.45%</w:t>
            </w:r>
            <w:r>
              <w:rPr>
                <w:rFonts w:eastAsiaTheme="minorEastAsia" w:hint="eastAsia"/>
                <w:sz w:val="24"/>
              </w:rPr>
              <w:t>；</w:t>
            </w:r>
            <w:proofErr w:type="gramStart"/>
            <w:r>
              <w:rPr>
                <w:rFonts w:eastAsiaTheme="minorEastAsia" w:hint="eastAsia"/>
                <w:sz w:val="24"/>
              </w:rPr>
              <w:t>节能降碳装备</w:t>
            </w:r>
            <w:proofErr w:type="gramEnd"/>
            <w:r>
              <w:rPr>
                <w:rFonts w:eastAsiaTheme="minorEastAsia" w:hint="eastAsia"/>
                <w:sz w:val="24"/>
              </w:rPr>
              <w:t>订单</w:t>
            </w:r>
            <w:r>
              <w:rPr>
                <w:rFonts w:eastAsiaTheme="minorEastAsia" w:hint="eastAsia"/>
                <w:sz w:val="24"/>
              </w:rPr>
              <w:t>6.49</w:t>
            </w:r>
            <w:r>
              <w:rPr>
                <w:rFonts w:eastAsiaTheme="minorEastAsia" w:hint="eastAsia"/>
                <w:sz w:val="24"/>
              </w:rPr>
              <w:t>亿元，同比增长</w:t>
            </w:r>
            <w:r>
              <w:rPr>
                <w:rFonts w:eastAsiaTheme="minorEastAsia" w:hint="eastAsia"/>
                <w:sz w:val="24"/>
              </w:rPr>
              <w:t>14.28%</w:t>
            </w:r>
            <w:r>
              <w:rPr>
                <w:rFonts w:eastAsiaTheme="minorEastAsia" w:hint="eastAsia"/>
                <w:sz w:val="24"/>
              </w:rPr>
              <w:t>；技术服务领域订单</w:t>
            </w:r>
            <w:r>
              <w:rPr>
                <w:rFonts w:eastAsiaTheme="minorEastAsia" w:hint="eastAsia"/>
                <w:sz w:val="24"/>
              </w:rPr>
              <w:t>1.83</w:t>
            </w:r>
            <w:r>
              <w:rPr>
                <w:rFonts w:eastAsiaTheme="minorEastAsia" w:hint="eastAsia"/>
                <w:sz w:val="24"/>
              </w:rPr>
              <w:t>亿元，同比下降</w:t>
            </w:r>
            <w:r>
              <w:rPr>
                <w:rFonts w:eastAsiaTheme="minorEastAsia" w:hint="eastAsia"/>
                <w:sz w:val="24"/>
              </w:rPr>
              <w:t>23.03%</w:t>
            </w:r>
            <w:r>
              <w:rPr>
                <w:rFonts w:eastAsiaTheme="minorEastAsia" w:hint="eastAsia"/>
                <w:sz w:val="24"/>
              </w:rPr>
              <w:t>；国际市场多点开花，斩获中东、巴基斯坦等多个海外订单，国际订单达</w:t>
            </w:r>
            <w:r>
              <w:rPr>
                <w:rFonts w:eastAsiaTheme="minorEastAsia" w:hint="eastAsia"/>
                <w:sz w:val="24"/>
              </w:rPr>
              <w:t>3.82</w:t>
            </w:r>
            <w:r>
              <w:rPr>
                <w:rFonts w:eastAsiaTheme="minorEastAsia" w:hint="eastAsia"/>
                <w:sz w:val="24"/>
              </w:rPr>
              <w:t>亿元，品牌影响力持续提升。</w:t>
            </w:r>
          </w:p>
          <w:p w14:paraId="4E3A5265" w14:textId="77777777" w:rsidR="00E14023" w:rsidRDefault="00FD650C">
            <w:pPr>
              <w:snapToGrid w:val="0"/>
              <w:spacing w:line="40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2</w:t>
            </w:r>
            <w:r>
              <w:rPr>
                <w:rFonts w:eastAsiaTheme="minorEastAsia"/>
                <w:b/>
                <w:sz w:val="24"/>
              </w:rPr>
              <w:t>：</w:t>
            </w:r>
            <w:r>
              <w:rPr>
                <w:rFonts w:eastAsiaTheme="minorEastAsia" w:hint="eastAsia"/>
                <w:b/>
                <w:sz w:val="24"/>
              </w:rPr>
              <w:t>公司近期受到行政处罚，对公司经营方面有什么样的影响？</w:t>
            </w:r>
          </w:p>
          <w:p w14:paraId="6DD80445" w14:textId="77777777" w:rsidR="00E14023" w:rsidRDefault="00FD650C">
            <w:pPr>
              <w:snapToGrid w:val="0"/>
              <w:spacing w:line="400" w:lineRule="exact"/>
              <w:ind w:firstLineChars="200" w:firstLine="480"/>
              <w:outlineLvl w:val="0"/>
              <w:rPr>
                <w:rFonts w:eastAsiaTheme="minorEastAsia"/>
                <w:sz w:val="24"/>
              </w:rPr>
            </w:pPr>
            <w:r>
              <w:rPr>
                <w:rFonts w:eastAsiaTheme="minorEastAsia" w:hint="eastAsia"/>
                <w:sz w:val="24"/>
              </w:rPr>
              <w:t>关于控股股东非经营性占用公司资金事宜，经公司前期自查及整改，控股股东已主动足额归还全部资金，且在</w:t>
            </w:r>
            <w:r>
              <w:rPr>
                <w:rFonts w:eastAsiaTheme="minorEastAsia" w:hint="eastAsia"/>
                <w:sz w:val="24"/>
              </w:rPr>
              <w:t>2025</w:t>
            </w:r>
            <w:r>
              <w:rPr>
                <w:rFonts w:eastAsiaTheme="minorEastAsia" w:hint="eastAsia"/>
                <w:sz w:val="24"/>
              </w:rPr>
              <w:t>年度再无新增占用资金，不会对公司后续经营造成不利影响。公司高度重视整改工作，制定专项整改方案并逐项落实。公司将以此次整改为契机，深刻汲取教训，全面补齐治理短板、夯实内控管理体系；同时控股股东</w:t>
            </w:r>
            <w:proofErr w:type="gramStart"/>
            <w:r>
              <w:rPr>
                <w:rFonts w:eastAsiaTheme="minorEastAsia" w:hint="eastAsia"/>
                <w:sz w:val="24"/>
              </w:rPr>
              <w:t>作出</w:t>
            </w:r>
            <w:proofErr w:type="gramEnd"/>
            <w:r>
              <w:rPr>
                <w:rFonts w:eastAsiaTheme="minorEastAsia" w:hint="eastAsia"/>
                <w:sz w:val="24"/>
              </w:rPr>
              <w:t>郑重承诺，后续将严格遵守资本市场法律法规及上市公司治理规则，严守合</w:t>
            </w:r>
            <w:proofErr w:type="gramStart"/>
            <w:r>
              <w:rPr>
                <w:rFonts w:eastAsiaTheme="minorEastAsia" w:hint="eastAsia"/>
                <w:sz w:val="24"/>
              </w:rPr>
              <w:t>规</w:t>
            </w:r>
            <w:proofErr w:type="gramEnd"/>
            <w:r>
              <w:rPr>
                <w:rFonts w:eastAsiaTheme="minorEastAsia" w:hint="eastAsia"/>
                <w:sz w:val="24"/>
              </w:rPr>
              <w:t>底线，依法依规行使股东权利，杜绝任何损害上市公司及中小股东利益的行为，全力支持上市公司独立规范运营与长远发展。</w:t>
            </w:r>
          </w:p>
          <w:p w14:paraId="737D04AF" w14:textId="77777777" w:rsidR="00E14023" w:rsidRDefault="00FD650C">
            <w:pPr>
              <w:snapToGrid w:val="0"/>
              <w:spacing w:line="40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3</w:t>
            </w:r>
            <w:r>
              <w:rPr>
                <w:rFonts w:eastAsiaTheme="minorEastAsia"/>
                <w:b/>
                <w:sz w:val="24"/>
              </w:rPr>
              <w:t>：</w:t>
            </w:r>
            <w:r>
              <w:rPr>
                <w:rFonts w:eastAsiaTheme="minorEastAsia" w:hint="eastAsia"/>
                <w:b/>
                <w:sz w:val="24"/>
              </w:rPr>
              <w:t>公司</w:t>
            </w:r>
            <w:r>
              <w:rPr>
                <w:rFonts w:eastAsiaTheme="minorEastAsia" w:hint="eastAsia"/>
                <w:b/>
                <w:sz w:val="24"/>
              </w:rPr>
              <w:t>2026</w:t>
            </w:r>
            <w:r>
              <w:rPr>
                <w:rFonts w:eastAsiaTheme="minorEastAsia" w:hint="eastAsia"/>
                <w:b/>
                <w:sz w:val="24"/>
              </w:rPr>
              <w:t>年在核能、氢能、储能等新能源装备订单增速较高，是否会带动公司整体毛利率的提升？</w:t>
            </w:r>
          </w:p>
          <w:p w14:paraId="587D9B0A" w14:textId="183DE5EC" w:rsidR="00E14023" w:rsidRDefault="00FD650C">
            <w:pPr>
              <w:snapToGrid w:val="0"/>
              <w:spacing w:line="400" w:lineRule="exact"/>
              <w:ind w:firstLineChars="200" w:firstLine="480"/>
              <w:outlineLvl w:val="0"/>
              <w:rPr>
                <w:rFonts w:eastAsiaTheme="minorEastAsia"/>
                <w:sz w:val="24"/>
              </w:rPr>
            </w:pPr>
            <w:r>
              <w:rPr>
                <w:rFonts w:eastAsiaTheme="minorEastAsia" w:hint="eastAsia"/>
                <w:sz w:val="24"/>
              </w:rPr>
              <w:t>2025</w:t>
            </w:r>
            <w:r>
              <w:rPr>
                <w:rFonts w:eastAsiaTheme="minorEastAsia" w:hint="eastAsia"/>
                <w:sz w:val="24"/>
              </w:rPr>
              <w:t>年度，受下游行业投资增速放缓、市场竞争加剧等因素影响与公司产品结构的变化，公司整体毛利率下滑，尤其传统能源装备、金属新材料等毛利率下滑幅度较大，但公司新能源装备毛利率有所提升，同比增加</w:t>
            </w:r>
            <w:r>
              <w:rPr>
                <w:rFonts w:eastAsiaTheme="minorEastAsia" w:hint="eastAsia"/>
                <w:sz w:val="24"/>
              </w:rPr>
              <w:t>11.62</w:t>
            </w:r>
            <w:r>
              <w:rPr>
                <w:rFonts w:eastAsiaTheme="minorEastAsia" w:hint="eastAsia"/>
                <w:sz w:val="24"/>
              </w:rPr>
              <w:t>个百分点。</w:t>
            </w:r>
            <w:r>
              <w:rPr>
                <w:rFonts w:eastAsiaTheme="minorEastAsia" w:hint="eastAsia"/>
                <w:sz w:val="24"/>
              </w:rPr>
              <w:t>2026</w:t>
            </w:r>
            <w:r>
              <w:rPr>
                <w:rFonts w:eastAsiaTheme="minorEastAsia" w:hint="eastAsia"/>
                <w:sz w:val="24"/>
              </w:rPr>
              <w:t>年，随着公司产品结构的调整，新能源装备、工业母机装备订单的快速增长，有望带动公司整体毛利率的逐步回升。同时，公司将进一步</w:t>
            </w:r>
            <w:r>
              <w:rPr>
                <w:rFonts w:eastAsiaTheme="minorEastAsia"/>
                <w:sz w:val="24"/>
              </w:rPr>
              <w:t>加大科技成果市场化应用转化，加强</w:t>
            </w:r>
            <w:r w:rsidR="0078362A">
              <w:rPr>
                <w:rFonts w:eastAsiaTheme="minorEastAsia" w:hint="eastAsia"/>
                <w:sz w:val="24"/>
              </w:rPr>
              <w:t>设计、采购、生产</w:t>
            </w:r>
            <w:r>
              <w:rPr>
                <w:rFonts w:eastAsiaTheme="minorEastAsia"/>
                <w:sz w:val="24"/>
              </w:rPr>
              <w:t>等全流程成本管控，着力于提升产品综合毛利率。</w:t>
            </w:r>
          </w:p>
          <w:p w14:paraId="01A46C6C" w14:textId="77777777" w:rsidR="00E14023" w:rsidRDefault="00FD650C">
            <w:pPr>
              <w:snapToGrid w:val="0"/>
              <w:spacing w:line="40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4</w:t>
            </w:r>
            <w:r>
              <w:rPr>
                <w:rFonts w:eastAsiaTheme="minorEastAsia"/>
                <w:b/>
                <w:sz w:val="24"/>
              </w:rPr>
              <w:t>：</w:t>
            </w:r>
            <w:r>
              <w:rPr>
                <w:rFonts w:eastAsiaTheme="minorEastAsia" w:hint="eastAsia"/>
                <w:b/>
                <w:sz w:val="24"/>
              </w:rPr>
              <w:t>公司近年来在化工新材料、节能减碳、储能等新领域开拓情况如何？</w:t>
            </w:r>
          </w:p>
          <w:p w14:paraId="70BA4592" w14:textId="2FB05421" w:rsidR="00E14023" w:rsidRDefault="00FD650C">
            <w:pPr>
              <w:snapToGrid w:val="0"/>
              <w:spacing w:line="400" w:lineRule="exact"/>
              <w:ind w:firstLineChars="200" w:firstLine="480"/>
              <w:outlineLvl w:val="0"/>
              <w:rPr>
                <w:rFonts w:ascii="宋体" w:hAnsi="宋体" w:cs="宋体"/>
                <w:sz w:val="24"/>
              </w:rPr>
            </w:pPr>
            <w:r>
              <w:rPr>
                <w:rFonts w:eastAsiaTheme="minorEastAsia" w:hint="eastAsia"/>
                <w:sz w:val="24"/>
              </w:rPr>
              <w:t>近年来，传统能源化工装备市场需求增量不足，公司持续开拓新业务领域，包括扬子石化</w:t>
            </w:r>
            <w:r>
              <w:rPr>
                <w:rFonts w:eastAsiaTheme="minorEastAsia" w:hint="eastAsia"/>
                <w:sz w:val="24"/>
              </w:rPr>
              <w:t>-</w:t>
            </w:r>
            <w:r>
              <w:rPr>
                <w:rFonts w:eastAsiaTheme="minorEastAsia" w:hint="eastAsia"/>
                <w:sz w:val="24"/>
              </w:rPr>
              <w:t>巴斯夫、荣盛石化等客户的</w:t>
            </w:r>
            <w:r>
              <w:rPr>
                <w:rFonts w:eastAsiaTheme="minorEastAsia" w:hint="eastAsia"/>
                <w:sz w:val="24"/>
              </w:rPr>
              <w:t>EVA</w:t>
            </w:r>
            <w:r>
              <w:rPr>
                <w:rFonts w:eastAsiaTheme="minorEastAsia" w:hint="eastAsia"/>
                <w:sz w:val="24"/>
              </w:rPr>
              <w:t>（乙烯</w:t>
            </w:r>
            <w:r>
              <w:rPr>
                <w:rFonts w:eastAsiaTheme="minorEastAsia" w:hint="eastAsia"/>
                <w:sz w:val="24"/>
              </w:rPr>
              <w:t>-</w:t>
            </w:r>
            <w:r>
              <w:rPr>
                <w:rFonts w:eastAsiaTheme="minorEastAsia" w:hint="eastAsia"/>
                <w:sz w:val="24"/>
              </w:rPr>
              <w:t>醋酸乙烯酯共聚物）项目核心设备；为重要客户提供了天然气提取氦气领域的成套核心分离工艺设备；高效节能换热装备在全球首台商用超临界二氧化碳发电机组成功商运；在</w:t>
            </w:r>
            <w:r>
              <w:rPr>
                <w:rFonts w:ascii="宋体" w:hAnsi="宋体" w:cs="宋体"/>
                <w:sz w:val="24"/>
              </w:rPr>
              <w:t>光热熔盐储能、压缩空气储能、压缩二氧化碳储能等领域已实现系统集成设计及关键设备市场化推广，承接了国家能源敦煌100MW光热熔盐储能项目、中电建肥城2×300MW（一</w:t>
            </w:r>
            <w:r>
              <w:rPr>
                <w:rFonts w:ascii="宋体" w:hAnsi="宋体" w:cs="宋体"/>
                <w:sz w:val="24"/>
              </w:rPr>
              <w:lastRenderedPageBreak/>
              <w:t>期）盐穴压缩空气储能等项目</w:t>
            </w:r>
            <w:r>
              <w:rPr>
                <w:rFonts w:ascii="宋体" w:hAnsi="宋体" w:cs="宋体" w:hint="eastAsia"/>
                <w:sz w:val="24"/>
              </w:rPr>
              <w:t>；在CCUS领域承接了</w:t>
            </w:r>
            <w:r>
              <w:rPr>
                <w:rFonts w:ascii="宋体" w:hAnsi="宋体" w:cs="宋体"/>
                <w:sz w:val="24"/>
              </w:rPr>
              <w:t>华能CCUS项目首台（套）重大技术装备示范项目的碳捕集工程塔器及附属设备设计、制造及施工。</w:t>
            </w:r>
          </w:p>
          <w:p w14:paraId="4B6C6650" w14:textId="512A2B34" w:rsidR="00E14023" w:rsidRDefault="0078362A">
            <w:pPr>
              <w:snapToGrid w:val="0"/>
              <w:spacing w:line="400" w:lineRule="exact"/>
              <w:ind w:firstLineChars="200" w:firstLine="480"/>
              <w:outlineLvl w:val="0"/>
              <w:rPr>
                <w:rFonts w:eastAsiaTheme="minorEastAsia"/>
                <w:sz w:val="24"/>
              </w:rPr>
            </w:pPr>
            <w:r>
              <w:rPr>
                <w:rFonts w:eastAsiaTheme="minorEastAsia" w:hint="eastAsia"/>
                <w:sz w:val="24"/>
              </w:rPr>
              <w:t>2026</w:t>
            </w:r>
            <w:r>
              <w:rPr>
                <w:rFonts w:eastAsiaTheme="minorEastAsia" w:hint="eastAsia"/>
                <w:sz w:val="24"/>
              </w:rPr>
              <w:t>年，</w:t>
            </w:r>
            <w:r w:rsidR="00FD650C">
              <w:rPr>
                <w:rFonts w:eastAsiaTheme="minorEastAsia" w:hint="eastAsia"/>
                <w:sz w:val="24"/>
              </w:rPr>
              <w:t>公司将坚持“稳中求进，质效双升”工作总基调，强科技、优布局、拓增量、抓改革、精管理、提效益，持续做强炼油化工、煤化工等传统优势产业，</w:t>
            </w:r>
            <w:proofErr w:type="gramStart"/>
            <w:r w:rsidR="00FD650C">
              <w:rPr>
                <w:rFonts w:eastAsiaTheme="minorEastAsia" w:hint="eastAsia"/>
                <w:sz w:val="24"/>
              </w:rPr>
              <w:t>做优以</w:t>
            </w:r>
            <w:proofErr w:type="gramEnd"/>
            <w:r w:rsidR="00FD650C">
              <w:rPr>
                <w:rFonts w:eastAsiaTheme="minorEastAsia" w:hint="eastAsia"/>
                <w:sz w:val="24"/>
              </w:rPr>
              <w:t>“核能、氢能、储能”新能源装备、高温合金新材料、工业智能装备、</w:t>
            </w:r>
            <w:proofErr w:type="gramStart"/>
            <w:r w:rsidR="00FD650C">
              <w:rPr>
                <w:rFonts w:eastAsiaTheme="minorEastAsia" w:hint="eastAsia"/>
                <w:sz w:val="24"/>
              </w:rPr>
              <w:t>节能降碳装备</w:t>
            </w:r>
            <w:proofErr w:type="gramEnd"/>
            <w:r w:rsidR="00FD650C">
              <w:rPr>
                <w:rFonts w:eastAsiaTheme="minorEastAsia" w:hint="eastAsia"/>
                <w:sz w:val="24"/>
              </w:rPr>
              <w:t>为主的战略性新兴产业，加力发展以工程咨询和设计服务、检验检测、</w:t>
            </w:r>
            <w:proofErr w:type="gramStart"/>
            <w:r w:rsidR="00FD650C">
              <w:rPr>
                <w:rFonts w:eastAsiaTheme="minorEastAsia" w:hint="eastAsia"/>
                <w:sz w:val="24"/>
              </w:rPr>
              <w:t>数智化</w:t>
            </w:r>
            <w:proofErr w:type="gramEnd"/>
            <w:r w:rsidR="00FD650C">
              <w:rPr>
                <w:rFonts w:eastAsiaTheme="minorEastAsia" w:hint="eastAsia"/>
                <w:sz w:val="24"/>
              </w:rPr>
              <w:t>、检维修服务等为主的生产性服务业，推动公司高质量、可持续发展。</w:t>
            </w:r>
          </w:p>
          <w:p w14:paraId="36E9342E" w14:textId="77777777" w:rsidR="00E14023" w:rsidRDefault="00FD650C">
            <w:pPr>
              <w:snapToGrid w:val="0"/>
              <w:spacing w:line="400" w:lineRule="exact"/>
              <w:ind w:firstLineChars="200" w:firstLine="482"/>
              <w:outlineLvl w:val="0"/>
              <w:rPr>
                <w:rFonts w:asciiTheme="minorEastAsia" w:eastAsiaTheme="minorEastAsia" w:hAnsiTheme="minorEastAsia"/>
                <w:b/>
                <w:sz w:val="24"/>
              </w:rPr>
            </w:pPr>
            <w:r>
              <w:rPr>
                <w:rFonts w:eastAsiaTheme="minorEastAsia"/>
                <w:b/>
                <w:sz w:val="24"/>
              </w:rPr>
              <w:t>问题</w:t>
            </w:r>
            <w:r>
              <w:rPr>
                <w:rFonts w:eastAsiaTheme="minorEastAsia" w:hint="eastAsia"/>
                <w:b/>
                <w:sz w:val="24"/>
              </w:rPr>
              <w:t>5</w:t>
            </w:r>
            <w:r>
              <w:rPr>
                <w:rFonts w:eastAsiaTheme="minorEastAsia"/>
                <w:b/>
                <w:sz w:val="24"/>
              </w:rPr>
              <w:t>：</w:t>
            </w:r>
            <w:r>
              <w:rPr>
                <w:rFonts w:eastAsiaTheme="minorEastAsia" w:hint="eastAsia"/>
                <w:b/>
                <w:sz w:val="24"/>
              </w:rPr>
              <w:t>公司在核能装备领域有何展望？</w:t>
            </w:r>
          </w:p>
          <w:p w14:paraId="549002E6" w14:textId="77777777" w:rsidR="00E14023" w:rsidRDefault="00FD650C">
            <w:pPr>
              <w:snapToGrid w:val="0"/>
              <w:spacing w:line="400" w:lineRule="exact"/>
              <w:ind w:firstLineChars="200" w:firstLine="480"/>
              <w:outlineLvl w:val="0"/>
              <w:rPr>
                <w:rFonts w:eastAsiaTheme="minorEastAsia"/>
                <w:sz w:val="24"/>
              </w:rPr>
            </w:pPr>
            <w:r>
              <w:rPr>
                <w:rFonts w:eastAsiaTheme="minorEastAsia" w:hint="eastAsia"/>
                <w:sz w:val="24"/>
              </w:rPr>
              <w:t>在核能领域，公司打造形成涵盖上游核化工设备，核燃料生产、贮运设备，中游核电站相关设备及下游乏燃料循环后处理、核环保等核能装备全产业链布局，已形成了创新中心与兰州、青岛、嘉峪关的核能装备制造基地协同联动的“</w:t>
            </w:r>
            <w:proofErr w:type="gramStart"/>
            <w:r>
              <w:rPr>
                <w:rFonts w:eastAsiaTheme="minorEastAsia" w:hint="eastAsia"/>
                <w:sz w:val="24"/>
              </w:rPr>
              <w:t>一</w:t>
            </w:r>
            <w:proofErr w:type="gramEnd"/>
            <w:r>
              <w:rPr>
                <w:rFonts w:eastAsiaTheme="minorEastAsia" w:hint="eastAsia"/>
                <w:sz w:val="24"/>
              </w:rPr>
              <w:t>中心三基地”运营模式。公司拥有覆盖产业链上下游的资质证书，并培育了一支近</w:t>
            </w:r>
            <w:proofErr w:type="gramStart"/>
            <w:r>
              <w:rPr>
                <w:rFonts w:eastAsiaTheme="minorEastAsia" w:hint="eastAsia"/>
                <w:sz w:val="24"/>
              </w:rPr>
              <w:t>200</w:t>
            </w:r>
            <w:r>
              <w:rPr>
                <w:rFonts w:eastAsiaTheme="minorEastAsia" w:hint="eastAsia"/>
                <w:sz w:val="24"/>
              </w:rPr>
              <w:t>余名核级焊工及核级无损检测</w:t>
            </w:r>
            <w:proofErr w:type="gramEnd"/>
            <w:r>
              <w:rPr>
                <w:rFonts w:eastAsiaTheme="minorEastAsia" w:hint="eastAsia"/>
                <w:sz w:val="24"/>
              </w:rPr>
              <w:t>持证人员的专业队伍，具备重大工程和重大项目的承接能力。</w:t>
            </w:r>
            <w:r>
              <w:rPr>
                <w:rFonts w:eastAsiaTheme="minorEastAsia" w:hint="eastAsia"/>
                <w:sz w:val="24"/>
              </w:rPr>
              <w:t>2026</w:t>
            </w:r>
            <w:r>
              <w:rPr>
                <w:rFonts w:eastAsiaTheme="minorEastAsia" w:hint="eastAsia"/>
                <w:sz w:val="24"/>
              </w:rPr>
              <w:t>年度，公司将继续保持在核能领域市场开拓的强劲势头，进一步抢抓市场机遇，</w:t>
            </w:r>
            <w:r>
              <w:rPr>
                <w:rFonts w:eastAsiaTheme="minorEastAsia"/>
                <w:sz w:val="24"/>
              </w:rPr>
              <w:t>深化与三大核电集团及科研院所合作，加快核领域关键装备研发与市场化，</w:t>
            </w:r>
            <w:r>
              <w:rPr>
                <w:rFonts w:eastAsiaTheme="minorEastAsia" w:hint="eastAsia"/>
                <w:sz w:val="24"/>
              </w:rPr>
              <w:t>做大做强公司核能装备。</w:t>
            </w:r>
          </w:p>
        </w:tc>
      </w:tr>
      <w:tr w:rsidR="00E14023" w14:paraId="35017D95" w14:textId="77777777">
        <w:trPr>
          <w:trHeight w:val="510"/>
          <w:jc w:val="center"/>
        </w:trPr>
        <w:tc>
          <w:tcPr>
            <w:tcW w:w="1701" w:type="dxa"/>
            <w:vAlign w:val="center"/>
          </w:tcPr>
          <w:p w14:paraId="2EA7A621" w14:textId="77777777" w:rsidR="00E14023" w:rsidRDefault="00FD650C">
            <w:pPr>
              <w:jc w:val="center"/>
              <w:rPr>
                <w:bCs/>
                <w:iCs/>
                <w:color w:val="000000"/>
                <w:sz w:val="24"/>
              </w:rPr>
            </w:pPr>
            <w:r>
              <w:rPr>
                <w:bCs/>
                <w:iCs/>
                <w:color w:val="000000"/>
                <w:sz w:val="24"/>
              </w:rPr>
              <w:lastRenderedPageBreak/>
              <w:t>附件清单</w:t>
            </w:r>
          </w:p>
        </w:tc>
        <w:tc>
          <w:tcPr>
            <w:tcW w:w="6751" w:type="dxa"/>
            <w:vAlign w:val="center"/>
          </w:tcPr>
          <w:p w14:paraId="1AEE5D0E" w14:textId="77777777" w:rsidR="00E14023" w:rsidRDefault="00FD650C">
            <w:pPr>
              <w:jc w:val="center"/>
              <w:rPr>
                <w:bCs/>
                <w:iCs/>
                <w:color w:val="000000"/>
                <w:sz w:val="24"/>
              </w:rPr>
            </w:pPr>
            <w:r>
              <w:rPr>
                <w:bCs/>
                <w:iCs/>
                <w:color w:val="000000"/>
                <w:sz w:val="24"/>
              </w:rPr>
              <w:t>无</w:t>
            </w:r>
          </w:p>
        </w:tc>
      </w:tr>
      <w:tr w:rsidR="00E14023" w14:paraId="3D1D2724" w14:textId="77777777">
        <w:trPr>
          <w:trHeight w:val="510"/>
          <w:jc w:val="center"/>
        </w:trPr>
        <w:tc>
          <w:tcPr>
            <w:tcW w:w="1701" w:type="dxa"/>
            <w:vAlign w:val="center"/>
          </w:tcPr>
          <w:p w14:paraId="48AC2DD8" w14:textId="77777777" w:rsidR="00E14023" w:rsidRDefault="00FD650C">
            <w:pPr>
              <w:jc w:val="center"/>
              <w:rPr>
                <w:bCs/>
                <w:iCs/>
                <w:color w:val="000000"/>
                <w:sz w:val="24"/>
              </w:rPr>
            </w:pPr>
            <w:r>
              <w:rPr>
                <w:bCs/>
                <w:iCs/>
                <w:color w:val="000000"/>
                <w:sz w:val="24"/>
              </w:rPr>
              <w:t>日期</w:t>
            </w:r>
          </w:p>
        </w:tc>
        <w:tc>
          <w:tcPr>
            <w:tcW w:w="6751" w:type="dxa"/>
            <w:vAlign w:val="center"/>
          </w:tcPr>
          <w:p w14:paraId="390A5E6B" w14:textId="77777777" w:rsidR="00E14023" w:rsidRDefault="00FD650C">
            <w:pPr>
              <w:jc w:val="center"/>
              <w:rPr>
                <w:bCs/>
                <w:iCs/>
                <w:color w:val="000000"/>
                <w:sz w:val="24"/>
              </w:rPr>
            </w:pPr>
            <w:r>
              <w:rPr>
                <w:bCs/>
                <w:iCs/>
                <w:color w:val="000000"/>
                <w:sz w:val="24"/>
              </w:rPr>
              <w:t>202</w:t>
            </w:r>
            <w:r>
              <w:rPr>
                <w:rFonts w:hint="eastAsia"/>
                <w:bCs/>
                <w:iCs/>
                <w:color w:val="000000"/>
                <w:sz w:val="24"/>
              </w:rPr>
              <w:t>6</w:t>
            </w:r>
            <w:r>
              <w:rPr>
                <w:bCs/>
                <w:iCs/>
                <w:color w:val="000000"/>
                <w:sz w:val="24"/>
              </w:rPr>
              <w:t>年</w:t>
            </w:r>
            <w:r>
              <w:rPr>
                <w:rFonts w:hint="eastAsia"/>
                <w:bCs/>
                <w:iCs/>
                <w:color w:val="000000"/>
                <w:sz w:val="24"/>
              </w:rPr>
              <w:t>4</w:t>
            </w:r>
            <w:r>
              <w:rPr>
                <w:bCs/>
                <w:iCs/>
                <w:color w:val="000000"/>
                <w:sz w:val="24"/>
              </w:rPr>
              <w:t>月</w:t>
            </w:r>
            <w:r>
              <w:rPr>
                <w:rFonts w:hint="eastAsia"/>
                <w:bCs/>
                <w:iCs/>
                <w:color w:val="000000"/>
                <w:sz w:val="24"/>
              </w:rPr>
              <w:t>28</w:t>
            </w:r>
            <w:r>
              <w:rPr>
                <w:bCs/>
                <w:iCs/>
                <w:color w:val="000000"/>
                <w:sz w:val="24"/>
              </w:rPr>
              <w:t>日</w:t>
            </w:r>
          </w:p>
        </w:tc>
      </w:tr>
    </w:tbl>
    <w:p w14:paraId="305CDDDA" w14:textId="77777777" w:rsidR="00E14023" w:rsidRDefault="00E14023">
      <w:pPr>
        <w:spacing w:line="360" w:lineRule="auto"/>
        <w:jc w:val="left"/>
        <w:rPr>
          <w:bCs/>
          <w:iCs/>
          <w:color w:val="000000"/>
          <w:sz w:val="24"/>
        </w:rPr>
      </w:pPr>
    </w:p>
    <w:sectPr w:rsidR="00E14023">
      <w:footerReference w:type="default" r:id="rId8"/>
      <w:pgSz w:w="11906" w:h="16838"/>
      <w:pgMar w:top="1276" w:right="1800" w:bottom="993" w:left="1800" w:header="851"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E6858" w14:textId="77777777" w:rsidR="007C2499" w:rsidRDefault="007C2499">
      <w:r>
        <w:separator/>
      </w:r>
    </w:p>
  </w:endnote>
  <w:endnote w:type="continuationSeparator" w:id="0">
    <w:p w14:paraId="36EF9745" w14:textId="77777777" w:rsidR="007C2499" w:rsidRDefault="007C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616066"/>
      <w:docPartObj>
        <w:docPartGallery w:val="AutoText"/>
      </w:docPartObj>
    </w:sdtPr>
    <w:sdtEndPr/>
    <w:sdtContent>
      <w:p w14:paraId="303D94A0" w14:textId="77777777" w:rsidR="00E14023" w:rsidRDefault="00FD650C">
        <w:pPr>
          <w:pStyle w:val="a5"/>
          <w:jc w:val="center"/>
        </w:pPr>
        <w:r>
          <w:fldChar w:fldCharType="begin"/>
        </w:r>
        <w:r>
          <w:instrText>PAGE   \* MERGEFORMAT</w:instrText>
        </w:r>
        <w:r>
          <w:fldChar w:fldCharType="separate"/>
        </w:r>
        <w:r w:rsidR="00911A75" w:rsidRPr="00911A7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C55F9" w14:textId="77777777" w:rsidR="007C2499" w:rsidRDefault="007C2499">
      <w:r>
        <w:separator/>
      </w:r>
    </w:p>
  </w:footnote>
  <w:footnote w:type="continuationSeparator" w:id="0">
    <w:p w14:paraId="3BF99191" w14:textId="77777777" w:rsidR="007C2499" w:rsidRDefault="007C2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56"/>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325"/>
    <w:rsid w:val="00011465"/>
    <w:rsid w:val="000178D2"/>
    <w:rsid w:val="00023909"/>
    <w:rsid w:val="00025A5F"/>
    <w:rsid w:val="00026069"/>
    <w:rsid w:val="00032745"/>
    <w:rsid w:val="000352BC"/>
    <w:rsid w:val="000366BD"/>
    <w:rsid w:val="00040519"/>
    <w:rsid w:val="00041484"/>
    <w:rsid w:val="000419AE"/>
    <w:rsid w:val="00041F98"/>
    <w:rsid w:val="000429C5"/>
    <w:rsid w:val="0004519B"/>
    <w:rsid w:val="00050159"/>
    <w:rsid w:val="00052715"/>
    <w:rsid w:val="00052E4B"/>
    <w:rsid w:val="00060A1B"/>
    <w:rsid w:val="00064653"/>
    <w:rsid w:val="00065B21"/>
    <w:rsid w:val="00066F37"/>
    <w:rsid w:val="00067516"/>
    <w:rsid w:val="00067C9E"/>
    <w:rsid w:val="00072ABE"/>
    <w:rsid w:val="00074AB0"/>
    <w:rsid w:val="00075699"/>
    <w:rsid w:val="00075BDA"/>
    <w:rsid w:val="00076762"/>
    <w:rsid w:val="00083557"/>
    <w:rsid w:val="000859E6"/>
    <w:rsid w:val="00087708"/>
    <w:rsid w:val="000903A3"/>
    <w:rsid w:val="00091A7E"/>
    <w:rsid w:val="000932B2"/>
    <w:rsid w:val="000941A3"/>
    <w:rsid w:val="000A1C55"/>
    <w:rsid w:val="000B287E"/>
    <w:rsid w:val="000B2895"/>
    <w:rsid w:val="000B54EB"/>
    <w:rsid w:val="000B5899"/>
    <w:rsid w:val="000B6E55"/>
    <w:rsid w:val="000B7318"/>
    <w:rsid w:val="000C3ED5"/>
    <w:rsid w:val="000D6AA0"/>
    <w:rsid w:val="000E147C"/>
    <w:rsid w:val="000E1B1A"/>
    <w:rsid w:val="000E28BD"/>
    <w:rsid w:val="000E4D83"/>
    <w:rsid w:val="000E7C31"/>
    <w:rsid w:val="000F2C48"/>
    <w:rsid w:val="000F302B"/>
    <w:rsid w:val="000F5615"/>
    <w:rsid w:val="000F6CD5"/>
    <w:rsid w:val="001001B9"/>
    <w:rsid w:val="001039A2"/>
    <w:rsid w:val="00103B64"/>
    <w:rsid w:val="00103DCE"/>
    <w:rsid w:val="001053D0"/>
    <w:rsid w:val="00111D2A"/>
    <w:rsid w:val="00111DDE"/>
    <w:rsid w:val="00113127"/>
    <w:rsid w:val="00114D94"/>
    <w:rsid w:val="001157DE"/>
    <w:rsid w:val="00122146"/>
    <w:rsid w:val="00125478"/>
    <w:rsid w:val="00126139"/>
    <w:rsid w:val="00126670"/>
    <w:rsid w:val="00132A1A"/>
    <w:rsid w:val="001351FF"/>
    <w:rsid w:val="00135731"/>
    <w:rsid w:val="0013768B"/>
    <w:rsid w:val="00137A5D"/>
    <w:rsid w:val="001411F0"/>
    <w:rsid w:val="00141DF0"/>
    <w:rsid w:val="001433ED"/>
    <w:rsid w:val="0014362A"/>
    <w:rsid w:val="00153D37"/>
    <w:rsid w:val="00156DEA"/>
    <w:rsid w:val="00157785"/>
    <w:rsid w:val="001674A5"/>
    <w:rsid w:val="00172A27"/>
    <w:rsid w:val="001840AF"/>
    <w:rsid w:val="0018466F"/>
    <w:rsid w:val="0018492D"/>
    <w:rsid w:val="00184C11"/>
    <w:rsid w:val="00185476"/>
    <w:rsid w:val="001856E7"/>
    <w:rsid w:val="001857E1"/>
    <w:rsid w:val="001956D7"/>
    <w:rsid w:val="001A005F"/>
    <w:rsid w:val="001A2F87"/>
    <w:rsid w:val="001A66F8"/>
    <w:rsid w:val="001B05F8"/>
    <w:rsid w:val="001B2565"/>
    <w:rsid w:val="001B2DAA"/>
    <w:rsid w:val="001B304F"/>
    <w:rsid w:val="001B4981"/>
    <w:rsid w:val="001B4CA1"/>
    <w:rsid w:val="001C0246"/>
    <w:rsid w:val="001C0A1C"/>
    <w:rsid w:val="001D3A51"/>
    <w:rsid w:val="001D4086"/>
    <w:rsid w:val="001D6C0E"/>
    <w:rsid w:val="001E3E1A"/>
    <w:rsid w:val="001E7518"/>
    <w:rsid w:val="001F0F32"/>
    <w:rsid w:val="001F1D5B"/>
    <w:rsid w:val="001F62A1"/>
    <w:rsid w:val="001F62E1"/>
    <w:rsid w:val="00202BCA"/>
    <w:rsid w:val="00204C5F"/>
    <w:rsid w:val="00210BC3"/>
    <w:rsid w:val="00212CAD"/>
    <w:rsid w:val="00215C12"/>
    <w:rsid w:val="00216C3A"/>
    <w:rsid w:val="00216D24"/>
    <w:rsid w:val="00221833"/>
    <w:rsid w:val="00223FD6"/>
    <w:rsid w:val="00224331"/>
    <w:rsid w:val="002264A3"/>
    <w:rsid w:val="00226733"/>
    <w:rsid w:val="00227C73"/>
    <w:rsid w:val="002302D6"/>
    <w:rsid w:val="00230997"/>
    <w:rsid w:val="002343DC"/>
    <w:rsid w:val="002377A0"/>
    <w:rsid w:val="002428D9"/>
    <w:rsid w:val="002437D2"/>
    <w:rsid w:val="00244E76"/>
    <w:rsid w:val="00252A11"/>
    <w:rsid w:val="00261949"/>
    <w:rsid w:val="0026396C"/>
    <w:rsid w:val="0026522F"/>
    <w:rsid w:val="002656F8"/>
    <w:rsid w:val="002667A1"/>
    <w:rsid w:val="00270841"/>
    <w:rsid w:val="00272E74"/>
    <w:rsid w:val="00274832"/>
    <w:rsid w:val="00276A91"/>
    <w:rsid w:val="002816F4"/>
    <w:rsid w:val="002824DC"/>
    <w:rsid w:val="0028343D"/>
    <w:rsid w:val="00284930"/>
    <w:rsid w:val="00286CC0"/>
    <w:rsid w:val="00287F08"/>
    <w:rsid w:val="00292492"/>
    <w:rsid w:val="00294FEF"/>
    <w:rsid w:val="002974EA"/>
    <w:rsid w:val="002A3DEB"/>
    <w:rsid w:val="002A4E88"/>
    <w:rsid w:val="002B276D"/>
    <w:rsid w:val="002B4364"/>
    <w:rsid w:val="002B57D3"/>
    <w:rsid w:val="002C059C"/>
    <w:rsid w:val="002C11D9"/>
    <w:rsid w:val="002C1579"/>
    <w:rsid w:val="002C6461"/>
    <w:rsid w:val="002D501A"/>
    <w:rsid w:val="002E0E7C"/>
    <w:rsid w:val="002E284D"/>
    <w:rsid w:val="002E3C6F"/>
    <w:rsid w:val="002E5D97"/>
    <w:rsid w:val="002E73CA"/>
    <w:rsid w:val="002F5052"/>
    <w:rsid w:val="0030299A"/>
    <w:rsid w:val="00304047"/>
    <w:rsid w:val="003079B4"/>
    <w:rsid w:val="0031172D"/>
    <w:rsid w:val="00312D7C"/>
    <w:rsid w:val="00314729"/>
    <w:rsid w:val="00314A83"/>
    <w:rsid w:val="00320D64"/>
    <w:rsid w:val="00324D6A"/>
    <w:rsid w:val="00325C1F"/>
    <w:rsid w:val="0032719F"/>
    <w:rsid w:val="00327B4D"/>
    <w:rsid w:val="0033034C"/>
    <w:rsid w:val="00335BD2"/>
    <w:rsid w:val="00341C50"/>
    <w:rsid w:val="00346F67"/>
    <w:rsid w:val="00347D4B"/>
    <w:rsid w:val="00355C19"/>
    <w:rsid w:val="003568B7"/>
    <w:rsid w:val="00356959"/>
    <w:rsid w:val="00357DC3"/>
    <w:rsid w:val="0036228F"/>
    <w:rsid w:val="00362823"/>
    <w:rsid w:val="00364123"/>
    <w:rsid w:val="00366682"/>
    <w:rsid w:val="00366A9C"/>
    <w:rsid w:val="003701AB"/>
    <w:rsid w:val="00371E99"/>
    <w:rsid w:val="003724BC"/>
    <w:rsid w:val="0037415D"/>
    <w:rsid w:val="00374344"/>
    <w:rsid w:val="0037533E"/>
    <w:rsid w:val="00376A73"/>
    <w:rsid w:val="00380293"/>
    <w:rsid w:val="0038156D"/>
    <w:rsid w:val="00381B54"/>
    <w:rsid w:val="00391FDD"/>
    <w:rsid w:val="003A2227"/>
    <w:rsid w:val="003A76BF"/>
    <w:rsid w:val="003B1E99"/>
    <w:rsid w:val="003B2EE5"/>
    <w:rsid w:val="003B3E05"/>
    <w:rsid w:val="003B62EB"/>
    <w:rsid w:val="003C060C"/>
    <w:rsid w:val="003C1FBA"/>
    <w:rsid w:val="003C2F4A"/>
    <w:rsid w:val="003C3391"/>
    <w:rsid w:val="003C7052"/>
    <w:rsid w:val="003D1ED2"/>
    <w:rsid w:val="003D2437"/>
    <w:rsid w:val="003D3A81"/>
    <w:rsid w:val="003D652D"/>
    <w:rsid w:val="003D72A0"/>
    <w:rsid w:val="003E09DE"/>
    <w:rsid w:val="003E1A73"/>
    <w:rsid w:val="003E2195"/>
    <w:rsid w:val="003E4D73"/>
    <w:rsid w:val="003E4FF8"/>
    <w:rsid w:val="003E7805"/>
    <w:rsid w:val="003E78E4"/>
    <w:rsid w:val="003F4CF2"/>
    <w:rsid w:val="00400410"/>
    <w:rsid w:val="00401350"/>
    <w:rsid w:val="00401D14"/>
    <w:rsid w:val="004026B3"/>
    <w:rsid w:val="004038E5"/>
    <w:rsid w:val="00405DFF"/>
    <w:rsid w:val="00406A99"/>
    <w:rsid w:val="00411410"/>
    <w:rsid w:val="00413ABD"/>
    <w:rsid w:val="00414362"/>
    <w:rsid w:val="004145C3"/>
    <w:rsid w:val="00415B20"/>
    <w:rsid w:val="00417E54"/>
    <w:rsid w:val="004241FE"/>
    <w:rsid w:val="00426E0B"/>
    <w:rsid w:val="00427A4D"/>
    <w:rsid w:val="00432989"/>
    <w:rsid w:val="00432EDC"/>
    <w:rsid w:val="0043517F"/>
    <w:rsid w:val="004358FC"/>
    <w:rsid w:val="00435C30"/>
    <w:rsid w:val="00436903"/>
    <w:rsid w:val="00436E42"/>
    <w:rsid w:val="0043735D"/>
    <w:rsid w:val="004401DF"/>
    <w:rsid w:val="00443B9B"/>
    <w:rsid w:val="00444263"/>
    <w:rsid w:val="00444EBF"/>
    <w:rsid w:val="00445C9A"/>
    <w:rsid w:val="00451AE2"/>
    <w:rsid w:val="00461221"/>
    <w:rsid w:val="00462415"/>
    <w:rsid w:val="0046300D"/>
    <w:rsid w:val="00463E97"/>
    <w:rsid w:val="00464D64"/>
    <w:rsid w:val="00467B8C"/>
    <w:rsid w:val="00467D94"/>
    <w:rsid w:val="00470AF2"/>
    <w:rsid w:val="00472421"/>
    <w:rsid w:val="00472BC3"/>
    <w:rsid w:val="00477089"/>
    <w:rsid w:val="0048274A"/>
    <w:rsid w:val="00485D75"/>
    <w:rsid w:val="0048726E"/>
    <w:rsid w:val="004872A1"/>
    <w:rsid w:val="0049119F"/>
    <w:rsid w:val="00492693"/>
    <w:rsid w:val="00496AF8"/>
    <w:rsid w:val="00496F2C"/>
    <w:rsid w:val="00497B9E"/>
    <w:rsid w:val="004A164C"/>
    <w:rsid w:val="004A16EC"/>
    <w:rsid w:val="004A22A8"/>
    <w:rsid w:val="004A293F"/>
    <w:rsid w:val="004A6789"/>
    <w:rsid w:val="004B0D2E"/>
    <w:rsid w:val="004B28E7"/>
    <w:rsid w:val="004B38BE"/>
    <w:rsid w:val="004C0202"/>
    <w:rsid w:val="004C7908"/>
    <w:rsid w:val="004D1FB9"/>
    <w:rsid w:val="004D2544"/>
    <w:rsid w:val="004D292D"/>
    <w:rsid w:val="004D3D4E"/>
    <w:rsid w:val="004D56D3"/>
    <w:rsid w:val="004D74C5"/>
    <w:rsid w:val="004D7DF1"/>
    <w:rsid w:val="004E055D"/>
    <w:rsid w:val="004E1645"/>
    <w:rsid w:val="004E291A"/>
    <w:rsid w:val="004E4522"/>
    <w:rsid w:val="004E4733"/>
    <w:rsid w:val="004E7778"/>
    <w:rsid w:val="004F22F2"/>
    <w:rsid w:val="004F3CDC"/>
    <w:rsid w:val="004F5D64"/>
    <w:rsid w:val="004F5F99"/>
    <w:rsid w:val="00503EE9"/>
    <w:rsid w:val="005044B2"/>
    <w:rsid w:val="0050589D"/>
    <w:rsid w:val="00507F01"/>
    <w:rsid w:val="005103B4"/>
    <w:rsid w:val="005120BB"/>
    <w:rsid w:val="00513C39"/>
    <w:rsid w:val="00514E3F"/>
    <w:rsid w:val="00517BCB"/>
    <w:rsid w:val="005215DB"/>
    <w:rsid w:val="005224A5"/>
    <w:rsid w:val="00522894"/>
    <w:rsid w:val="005237F0"/>
    <w:rsid w:val="00523E8E"/>
    <w:rsid w:val="005247B6"/>
    <w:rsid w:val="00525857"/>
    <w:rsid w:val="00531625"/>
    <w:rsid w:val="005316E6"/>
    <w:rsid w:val="00532819"/>
    <w:rsid w:val="00532BAE"/>
    <w:rsid w:val="0053497E"/>
    <w:rsid w:val="00536A0D"/>
    <w:rsid w:val="00537093"/>
    <w:rsid w:val="005430CE"/>
    <w:rsid w:val="00543241"/>
    <w:rsid w:val="005434DE"/>
    <w:rsid w:val="00543F5A"/>
    <w:rsid w:val="00544BCE"/>
    <w:rsid w:val="00546607"/>
    <w:rsid w:val="00547169"/>
    <w:rsid w:val="00552E89"/>
    <w:rsid w:val="00553738"/>
    <w:rsid w:val="005555EC"/>
    <w:rsid w:val="005564D3"/>
    <w:rsid w:val="00562E5F"/>
    <w:rsid w:val="00563079"/>
    <w:rsid w:val="005634C6"/>
    <w:rsid w:val="00564900"/>
    <w:rsid w:val="0056593B"/>
    <w:rsid w:val="00574F71"/>
    <w:rsid w:val="00586412"/>
    <w:rsid w:val="005874C1"/>
    <w:rsid w:val="00587654"/>
    <w:rsid w:val="00592063"/>
    <w:rsid w:val="00592866"/>
    <w:rsid w:val="00592E15"/>
    <w:rsid w:val="00592FED"/>
    <w:rsid w:val="005A1929"/>
    <w:rsid w:val="005A3EAB"/>
    <w:rsid w:val="005A67AD"/>
    <w:rsid w:val="005B06BE"/>
    <w:rsid w:val="005B0ABA"/>
    <w:rsid w:val="005B190D"/>
    <w:rsid w:val="005B7FCD"/>
    <w:rsid w:val="005C48AB"/>
    <w:rsid w:val="005C5110"/>
    <w:rsid w:val="005C67D2"/>
    <w:rsid w:val="005D1A6D"/>
    <w:rsid w:val="005D381D"/>
    <w:rsid w:val="005D564B"/>
    <w:rsid w:val="005D7533"/>
    <w:rsid w:val="005E0C20"/>
    <w:rsid w:val="005E2ABB"/>
    <w:rsid w:val="005F03E5"/>
    <w:rsid w:val="00600D13"/>
    <w:rsid w:val="00601213"/>
    <w:rsid w:val="00603CD2"/>
    <w:rsid w:val="006042D1"/>
    <w:rsid w:val="00607E4F"/>
    <w:rsid w:val="00610346"/>
    <w:rsid w:val="00612223"/>
    <w:rsid w:val="00613238"/>
    <w:rsid w:val="00620475"/>
    <w:rsid w:val="006209BC"/>
    <w:rsid w:val="00624379"/>
    <w:rsid w:val="00627170"/>
    <w:rsid w:val="006277C5"/>
    <w:rsid w:val="00630BE7"/>
    <w:rsid w:val="00631050"/>
    <w:rsid w:val="00631D2D"/>
    <w:rsid w:val="0063491F"/>
    <w:rsid w:val="00647E8F"/>
    <w:rsid w:val="006579ED"/>
    <w:rsid w:val="0066380A"/>
    <w:rsid w:val="006657C8"/>
    <w:rsid w:val="006664A7"/>
    <w:rsid w:val="00670FA2"/>
    <w:rsid w:val="0067110E"/>
    <w:rsid w:val="0067223B"/>
    <w:rsid w:val="006752EE"/>
    <w:rsid w:val="00682C51"/>
    <w:rsid w:val="00683BD8"/>
    <w:rsid w:val="006855FC"/>
    <w:rsid w:val="00685DC7"/>
    <w:rsid w:val="0068693C"/>
    <w:rsid w:val="0068771F"/>
    <w:rsid w:val="00690E28"/>
    <w:rsid w:val="006925FE"/>
    <w:rsid w:val="006944B5"/>
    <w:rsid w:val="00696299"/>
    <w:rsid w:val="006A1EF0"/>
    <w:rsid w:val="006A28D7"/>
    <w:rsid w:val="006A2ED1"/>
    <w:rsid w:val="006A48BB"/>
    <w:rsid w:val="006A6ACE"/>
    <w:rsid w:val="006B06DA"/>
    <w:rsid w:val="006B4EAA"/>
    <w:rsid w:val="006B7ADF"/>
    <w:rsid w:val="006C1AFA"/>
    <w:rsid w:val="006C3C8A"/>
    <w:rsid w:val="006C3C9C"/>
    <w:rsid w:val="006C5038"/>
    <w:rsid w:val="006D2480"/>
    <w:rsid w:val="006D3D3E"/>
    <w:rsid w:val="006D4B1D"/>
    <w:rsid w:val="006E6F1C"/>
    <w:rsid w:val="006E7889"/>
    <w:rsid w:val="00700070"/>
    <w:rsid w:val="00705162"/>
    <w:rsid w:val="0070555B"/>
    <w:rsid w:val="00705C33"/>
    <w:rsid w:val="00706BAF"/>
    <w:rsid w:val="00707A4F"/>
    <w:rsid w:val="00711201"/>
    <w:rsid w:val="0071252B"/>
    <w:rsid w:val="0071290E"/>
    <w:rsid w:val="007137E0"/>
    <w:rsid w:val="007155C9"/>
    <w:rsid w:val="007211B8"/>
    <w:rsid w:val="00730ECD"/>
    <w:rsid w:val="0073328D"/>
    <w:rsid w:val="0073349B"/>
    <w:rsid w:val="00733993"/>
    <w:rsid w:val="007364EA"/>
    <w:rsid w:val="007376B9"/>
    <w:rsid w:val="00743D0F"/>
    <w:rsid w:val="00743DF6"/>
    <w:rsid w:val="007460A7"/>
    <w:rsid w:val="007460C2"/>
    <w:rsid w:val="0074642B"/>
    <w:rsid w:val="00747F1D"/>
    <w:rsid w:val="00752348"/>
    <w:rsid w:val="00753914"/>
    <w:rsid w:val="0076114F"/>
    <w:rsid w:val="00761E7C"/>
    <w:rsid w:val="007631BA"/>
    <w:rsid w:val="007662D0"/>
    <w:rsid w:val="007722C3"/>
    <w:rsid w:val="007741EB"/>
    <w:rsid w:val="00775A64"/>
    <w:rsid w:val="00775C84"/>
    <w:rsid w:val="00776C13"/>
    <w:rsid w:val="00777037"/>
    <w:rsid w:val="00780EC3"/>
    <w:rsid w:val="007815DB"/>
    <w:rsid w:val="00782DC0"/>
    <w:rsid w:val="00782E54"/>
    <w:rsid w:val="0078362A"/>
    <w:rsid w:val="00784F36"/>
    <w:rsid w:val="0078790C"/>
    <w:rsid w:val="0079001E"/>
    <w:rsid w:val="00794061"/>
    <w:rsid w:val="007945F4"/>
    <w:rsid w:val="007A4628"/>
    <w:rsid w:val="007A524A"/>
    <w:rsid w:val="007B65B5"/>
    <w:rsid w:val="007C2499"/>
    <w:rsid w:val="007C38B6"/>
    <w:rsid w:val="007C634F"/>
    <w:rsid w:val="007D051A"/>
    <w:rsid w:val="007D0787"/>
    <w:rsid w:val="007D096D"/>
    <w:rsid w:val="007D0992"/>
    <w:rsid w:val="007D1EBB"/>
    <w:rsid w:val="007D25BA"/>
    <w:rsid w:val="007F35B6"/>
    <w:rsid w:val="007F77FB"/>
    <w:rsid w:val="00800008"/>
    <w:rsid w:val="0080019D"/>
    <w:rsid w:val="008064D4"/>
    <w:rsid w:val="008076E4"/>
    <w:rsid w:val="00807963"/>
    <w:rsid w:val="00807D84"/>
    <w:rsid w:val="008103FB"/>
    <w:rsid w:val="008114C2"/>
    <w:rsid w:val="008155F4"/>
    <w:rsid w:val="00815C78"/>
    <w:rsid w:val="0082052F"/>
    <w:rsid w:val="00823E9A"/>
    <w:rsid w:val="00825600"/>
    <w:rsid w:val="00830C7B"/>
    <w:rsid w:val="008321AD"/>
    <w:rsid w:val="0083423C"/>
    <w:rsid w:val="0083701D"/>
    <w:rsid w:val="00842441"/>
    <w:rsid w:val="00844B42"/>
    <w:rsid w:val="008463C5"/>
    <w:rsid w:val="00851977"/>
    <w:rsid w:val="00854BD6"/>
    <w:rsid w:val="00855F0E"/>
    <w:rsid w:val="008637B0"/>
    <w:rsid w:val="0086508C"/>
    <w:rsid w:val="008674E7"/>
    <w:rsid w:val="00867D3D"/>
    <w:rsid w:val="00870DE6"/>
    <w:rsid w:val="00873329"/>
    <w:rsid w:val="008762C3"/>
    <w:rsid w:val="00880612"/>
    <w:rsid w:val="00880D4E"/>
    <w:rsid w:val="0088107D"/>
    <w:rsid w:val="00887D38"/>
    <w:rsid w:val="008902B4"/>
    <w:rsid w:val="00892D6E"/>
    <w:rsid w:val="00893361"/>
    <w:rsid w:val="00894A9F"/>
    <w:rsid w:val="00896899"/>
    <w:rsid w:val="008975F4"/>
    <w:rsid w:val="008A0CF9"/>
    <w:rsid w:val="008A2EE4"/>
    <w:rsid w:val="008A5A85"/>
    <w:rsid w:val="008A6EE8"/>
    <w:rsid w:val="008B08A4"/>
    <w:rsid w:val="008B6639"/>
    <w:rsid w:val="008B6791"/>
    <w:rsid w:val="008C07AE"/>
    <w:rsid w:val="008D168A"/>
    <w:rsid w:val="008D1BB8"/>
    <w:rsid w:val="008D387F"/>
    <w:rsid w:val="008D7A22"/>
    <w:rsid w:val="008E07E7"/>
    <w:rsid w:val="008E3BEF"/>
    <w:rsid w:val="008E5C27"/>
    <w:rsid w:val="008E7919"/>
    <w:rsid w:val="008E7C7B"/>
    <w:rsid w:val="008F059E"/>
    <w:rsid w:val="008F5441"/>
    <w:rsid w:val="009011E0"/>
    <w:rsid w:val="00907D17"/>
    <w:rsid w:val="00911A75"/>
    <w:rsid w:val="00912FA2"/>
    <w:rsid w:val="00915404"/>
    <w:rsid w:val="00915F93"/>
    <w:rsid w:val="00917A9B"/>
    <w:rsid w:val="00925883"/>
    <w:rsid w:val="00927B37"/>
    <w:rsid w:val="00930B7D"/>
    <w:rsid w:val="00935F68"/>
    <w:rsid w:val="009363C8"/>
    <w:rsid w:val="00936E3E"/>
    <w:rsid w:val="009372FF"/>
    <w:rsid w:val="00937C4C"/>
    <w:rsid w:val="00940ABB"/>
    <w:rsid w:val="009416D1"/>
    <w:rsid w:val="00941934"/>
    <w:rsid w:val="0094206F"/>
    <w:rsid w:val="00944241"/>
    <w:rsid w:val="00950BEA"/>
    <w:rsid w:val="009513D0"/>
    <w:rsid w:val="00953F7F"/>
    <w:rsid w:val="0095430C"/>
    <w:rsid w:val="00954F3D"/>
    <w:rsid w:val="009617E7"/>
    <w:rsid w:val="00964B2B"/>
    <w:rsid w:val="00970ECF"/>
    <w:rsid w:val="009724AF"/>
    <w:rsid w:val="00977DED"/>
    <w:rsid w:val="00980F24"/>
    <w:rsid w:val="009814F7"/>
    <w:rsid w:val="00987B47"/>
    <w:rsid w:val="00990485"/>
    <w:rsid w:val="009920E4"/>
    <w:rsid w:val="00992385"/>
    <w:rsid w:val="0099282D"/>
    <w:rsid w:val="00993EE5"/>
    <w:rsid w:val="009944F3"/>
    <w:rsid w:val="00997595"/>
    <w:rsid w:val="009A0802"/>
    <w:rsid w:val="009A5821"/>
    <w:rsid w:val="009A5B8F"/>
    <w:rsid w:val="009A5EDE"/>
    <w:rsid w:val="009B1F8A"/>
    <w:rsid w:val="009B24A1"/>
    <w:rsid w:val="009B3B73"/>
    <w:rsid w:val="009B70A6"/>
    <w:rsid w:val="009C249F"/>
    <w:rsid w:val="009C2A64"/>
    <w:rsid w:val="009C5DAC"/>
    <w:rsid w:val="009C6758"/>
    <w:rsid w:val="009C6A83"/>
    <w:rsid w:val="009D01D1"/>
    <w:rsid w:val="009D35E4"/>
    <w:rsid w:val="009D49D2"/>
    <w:rsid w:val="009D5B28"/>
    <w:rsid w:val="009D7CDE"/>
    <w:rsid w:val="009E796F"/>
    <w:rsid w:val="009F06B0"/>
    <w:rsid w:val="009F097B"/>
    <w:rsid w:val="009F1DFF"/>
    <w:rsid w:val="00A02D99"/>
    <w:rsid w:val="00A038A4"/>
    <w:rsid w:val="00A04984"/>
    <w:rsid w:val="00A05AC7"/>
    <w:rsid w:val="00A10D6C"/>
    <w:rsid w:val="00A11E9F"/>
    <w:rsid w:val="00A14F18"/>
    <w:rsid w:val="00A15876"/>
    <w:rsid w:val="00A16469"/>
    <w:rsid w:val="00A16E09"/>
    <w:rsid w:val="00A24A36"/>
    <w:rsid w:val="00A260E9"/>
    <w:rsid w:val="00A32D56"/>
    <w:rsid w:val="00A331FE"/>
    <w:rsid w:val="00A33971"/>
    <w:rsid w:val="00A33CF3"/>
    <w:rsid w:val="00A36905"/>
    <w:rsid w:val="00A3785D"/>
    <w:rsid w:val="00A40910"/>
    <w:rsid w:val="00A462A9"/>
    <w:rsid w:val="00A5155F"/>
    <w:rsid w:val="00A637AF"/>
    <w:rsid w:val="00A650BA"/>
    <w:rsid w:val="00A66EF2"/>
    <w:rsid w:val="00A67308"/>
    <w:rsid w:val="00A7529D"/>
    <w:rsid w:val="00A806FD"/>
    <w:rsid w:val="00A80E27"/>
    <w:rsid w:val="00A82D1B"/>
    <w:rsid w:val="00A84468"/>
    <w:rsid w:val="00A84A54"/>
    <w:rsid w:val="00A84EB6"/>
    <w:rsid w:val="00A8683C"/>
    <w:rsid w:val="00A906AB"/>
    <w:rsid w:val="00A94179"/>
    <w:rsid w:val="00A94926"/>
    <w:rsid w:val="00A97562"/>
    <w:rsid w:val="00AA1257"/>
    <w:rsid w:val="00AB2BCE"/>
    <w:rsid w:val="00AC4E95"/>
    <w:rsid w:val="00AC6513"/>
    <w:rsid w:val="00AC6983"/>
    <w:rsid w:val="00AC7714"/>
    <w:rsid w:val="00AD4E47"/>
    <w:rsid w:val="00AD62D1"/>
    <w:rsid w:val="00AD7394"/>
    <w:rsid w:val="00AE32EE"/>
    <w:rsid w:val="00AF0047"/>
    <w:rsid w:val="00AF0124"/>
    <w:rsid w:val="00AF2A64"/>
    <w:rsid w:val="00AF4796"/>
    <w:rsid w:val="00B0435C"/>
    <w:rsid w:val="00B04A9B"/>
    <w:rsid w:val="00B059EB"/>
    <w:rsid w:val="00B1181C"/>
    <w:rsid w:val="00B12C62"/>
    <w:rsid w:val="00B150CF"/>
    <w:rsid w:val="00B229D2"/>
    <w:rsid w:val="00B23B2A"/>
    <w:rsid w:val="00B27BD6"/>
    <w:rsid w:val="00B27D86"/>
    <w:rsid w:val="00B31964"/>
    <w:rsid w:val="00B356CD"/>
    <w:rsid w:val="00B366E7"/>
    <w:rsid w:val="00B37AF3"/>
    <w:rsid w:val="00B43414"/>
    <w:rsid w:val="00B45EBE"/>
    <w:rsid w:val="00B472C8"/>
    <w:rsid w:val="00B50F66"/>
    <w:rsid w:val="00B546E1"/>
    <w:rsid w:val="00B55192"/>
    <w:rsid w:val="00B57A4F"/>
    <w:rsid w:val="00B62601"/>
    <w:rsid w:val="00B66DED"/>
    <w:rsid w:val="00B6727C"/>
    <w:rsid w:val="00B6790F"/>
    <w:rsid w:val="00B71329"/>
    <w:rsid w:val="00B80B1C"/>
    <w:rsid w:val="00B80CE9"/>
    <w:rsid w:val="00B83747"/>
    <w:rsid w:val="00B843AC"/>
    <w:rsid w:val="00B851C9"/>
    <w:rsid w:val="00B877B8"/>
    <w:rsid w:val="00B917C2"/>
    <w:rsid w:val="00B92239"/>
    <w:rsid w:val="00B9370A"/>
    <w:rsid w:val="00B970AE"/>
    <w:rsid w:val="00BA1AB0"/>
    <w:rsid w:val="00BA2C1E"/>
    <w:rsid w:val="00BA46CB"/>
    <w:rsid w:val="00BA7490"/>
    <w:rsid w:val="00BB1BAA"/>
    <w:rsid w:val="00BB33C9"/>
    <w:rsid w:val="00BB4D32"/>
    <w:rsid w:val="00BC1FB4"/>
    <w:rsid w:val="00BC24C3"/>
    <w:rsid w:val="00BC2533"/>
    <w:rsid w:val="00BC36C7"/>
    <w:rsid w:val="00BC4FB2"/>
    <w:rsid w:val="00BC50D8"/>
    <w:rsid w:val="00BD1DAB"/>
    <w:rsid w:val="00BD2F99"/>
    <w:rsid w:val="00BD3474"/>
    <w:rsid w:val="00BD3952"/>
    <w:rsid w:val="00BD6EEB"/>
    <w:rsid w:val="00BE765B"/>
    <w:rsid w:val="00BF06CD"/>
    <w:rsid w:val="00BF4AF2"/>
    <w:rsid w:val="00C00F2E"/>
    <w:rsid w:val="00C03BD4"/>
    <w:rsid w:val="00C04AB5"/>
    <w:rsid w:val="00C0580B"/>
    <w:rsid w:val="00C07168"/>
    <w:rsid w:val="00C1066C"/>
    <w:rsid w:val="00C13B88"/>
    <w:rsid w:val="00C154E2"/>
    <w:rsid w:val="00C206FA"/>
    <w:rsid w:val="00C20C33"/>
    <w:rsid w:val="00C30762"/>
    <w:rsid w:val="00C3299D"/>
    <w:rsid w:val="00C341A6"/>
    <w:rsid w:val="00C35A5D"/>
    <w:rsid w:val="00C35B92"/>
    <w:rsid w:val="00C40467"/>
    <w:rsid w:val="00C436AF"/>
    <w:rsid w:val="00C443AE"/>
    <w:rsid w:val="00C525F5"/>
    <w:rsid w:val="00C52ED5"/>
    <w:rsid w:val="00C54C11"/>
    <w:rsid w:val="00C54ECA"/>
    <w:rsid w:val="00C5508B"/>
    <w:rsid w:val="00C57871"/>
    <w:rsid w:val="00C57FA4"/>
    <w:rsid w:val="00C60A0E"/>
    <w:rsid w:val="00C63D1D"/>
    <w:rsid w:val="00C77FA0"/>
    <w:rsid w:val="00C80D12"/>
    <w:rsid w:val="00C81722"/>
    <w:rsid w:val="00C817DF"/>
    <w:rsid w:val="00C83C6D"/>
    <w:rsid w:val="00C85542"/>
    <w:rsid w:val="00C85904"/>
    <w:rsid w:val="00C86267"/>
    <w:rsid w:val="00C86D5C"/>
    <w:rsid w:val="00C87350"/>
    <w:rsid w:val="00C901A6"/>
    <w:rsid w:val="00C94503"/>
    <w:rsid w:val="00C97030"/>
    <w:rsid w:val="00C9707C"/>
    <w:rsid w:val="00CA05F6"/>
    <w:rsid w:val="00CA10DE"/>
    <w:rsid w:val="00CA1577"/>
    <w:rsid w:val="00CA3EA6"/>
    <w:rsid w:val="00CA5722"/>
    <w:rsid w:val="00CB4189"/>
    <w:rsid w:val="00CB4947"/>
    <w:rsid w:val="00CB6187"/>
    <w:rsid w:val="00CC08BE"/>
    <w:rsid w:val="00CC11EA"/>
    <w:rsid w:val="00CC2331"/>
    <w:rsid w:val="00CC273C"/>
    <w:rsid w:val="00CC6D9B"/>
    <w:rsid w:val="00CC7927"/>
    <w:rsid w:val="00CC7A02"/>
    <w:rsid w:val="00CD0D65"/>
    <w:rsid w:val="00CD1320"/>
    <w:rsid w:val="00CD2295"/>
    <w:rsid w:val="00CD4C64"/>
    <w:rsid w:val="00CD5EA6"/>
    <w:rsid w:val="00CD7451"/>
    <w:rsid w:val="00CE1DFA"/>
    <w:rsid w:val="00CE1F9C"/>
    <w:rsid w:val="00CE2AE2"/>
    <w:rsid w:val="00CE4973"/>
    <w:rsid w:val="00CE7708"/>
    <w:rsid w:val="00CF0634"/>
    <w:rsid w:val="00CF0D69"/>
    <w:rsid w:val="00D001EC"/>
    <w:rsid w:val="00D01C15"/>
    <w:rsid w:val="00D046EB"/>
    <w:rsid w:val="00D10D2A"/>
    <w:rsid w:val="00D11C0B"/>
    <w:rsid w:val="00D17162"/>
    <w:rsid w:val="00D22317"/>
    <w:rsid w:val="00D22D23"/>
    <w:rsid w:val="00D2757A"/>
    <w:rsid w:val="00D27B4A"/>
    <w:rsid w:val="00D3052F"/>
    <w:rsid w:val="00D314A2"/>
    <w:rsid w:val="00D323A0"/>
    <w:rsid w:val="00D33F9B"/>
    <w:rsid w:val="00D34445"/>
    <w:rsid w:val="00D46F5A"/>
    <w:rsid w:val="00D517FB"/>
    <w:rsid w:val="00D52FFD"/>
    <w:rsid w:val="00D54CE5"/>
    <w:rsid w:val="00D6269A"/>
    <w:rsid w:val="00D64ABA"/>
    <w:rsid w:val="00D64F13"/>
    <w:rsid w:val="00D71044"/>
    <w:rsid w:val="00D757D2"/>
    <w:rsid w:val="00D82D86"/>
    <w:rsid w:val="00D837E7"/>
    <w:rsid w:val="00D84340"/>
    <w:rsid w:val="00D85A03"/>
    <w:rsid w:val="00D871EC"/>
    <w:rsid w:val="00D9286C"/>
    <w:rsid w:val="00D93850"/>
    <w:rsid w:val="00D949B1"/>
    <w:rsid w:val="00D94C8C"/>
    <w:rsid w:val="00D97293"/>
    <w:rsid w:val="00DA5ED3"/>
    <w:rsid w:val="00DA741C"/>
    <w:rsid w:val="00DA7EE1"/>
    <w:rsid w:val="00DB1B1C"/>
    <w:rsid w:val="00DC20BD"/>
    <w:rsid w:val="00DC2686"/>
    <w:rsid w:val="00DC679C"/>
    <w:rsid w:val="00DD179E"/>
    <w:rsid w:val="00DE0DB8"/>
    <w:rsid w:val="00DE53D0"/>
    <w:rsid w:val="00DE54BC"/>
    <w:rsid w:val="00DF0386"/>
    <w:rsid w:val="00DF14BE"/>
    <w:rsid w:val="00DF6FD9"/>
    <w:rsid w:val="00E01BB8"/>
    <w:rsid w:val="00E020AC"/>
    <w:rsid w:val="00E021B2"/>
    <w:rsid w:val="00E03D6A"/>
    <w:rsid w:val="00E04D63"/>
    <w:rsid w:val="00E0533C"/>
    <w:rsid w:val="00E07D9A"/>
    <w:rsid w:val="00E11B4C"/>
    <w:rsid w:val="00E11BD7"/>
    <w:rsid w:val="00E129AF"/>
    <w:rsid w:val="00E14023"/>
    <w:rsid w:val="00E179C7"/>
    <w:rsid w:val="00E20484"/>
    <w:rsid w:val="00E20ECC"/>
    <w:rsid w:val="00E2157D"/>
    <w:rsid w:val="00E2564F"/>
    <w:rsid w:val="00E30710"/>
    <w:rsid w:val="00E312EA"/>
    <w:rsid w:val="00E325A3"/>
    <w:rsid w:val="00E34753"/>
    <w:rsid w:val="00E34A85"/>
    <w:rsid w:val="00E356E0"/>
    <w:rsid w:val="00E36617"/>
    <w:rsid w:val="00E36826"/>
    <w:rsid w:val="00E3770C"/>
    <w:rsid w:val="00E538C1"/>
    <w:rsid w:val="00E5470B"/>
    <w:rsid w:val="00E600B0"/>
    <w:rsid w:val="00E61E48"/>
    <w:rsid w:val="00E620C9"/>
    <w:rsid w:val="00E63E32"/>
    <w:rsid w:val="00E63F72"/>
    <w:rsid w:val="00E66A83"/>
    <w:rsid w:val="00E67134"/>
    <w:rsid w:val="00E70F1D"/>
    <w:rsid w:val="00E72CAD"/>
    <w:rsid w:val="00E738E7"/>
    <w:rsid w:val="00E81731"/>
    <w:rsid w:val="00E924DD"/>
    <w:rsid w:val="00E9333F"/>
    <w:rsid w:val="00E93FB7"/>
    <w:rsid w:val="00E94E2C"/>
    <w:rsid w:val="00EA5A1C"/>
    <w:rsid w:val="00EA6F88"/>
    <w:rsid w:val="00EB1976"/>
    <w:rsid w:val="00EB2D40"/>
    <w:rsid w:val="00EB46F7"/>
    <w:rsid w:val="00EC10FB"/>
    <w:rsid w:val="00EC3035"/>
    <w:rsid w:val="00EC5A6B"/>
    <w:rsid w:val="00ED0B86"/>
    <w:rsid w:val="00ED39B4"/>
    <w:rsid w:val="00ED506F"/>
    <w:rsid w:val="00EE0F99"/>
    <w:rsid w:val="00EE5DEE"/>
    <w:rsid w:val="00EF1428"/>
    <w:rsid w:val="00EF30E5"/>
    <w:rsid w:val="00EF4EBC"/>
    <w:rsid w:val="00EF641E"/>
    <w:rsid w:val="00F01F41"/>
    <w:rsid w:val="00F038ED"/>
    <w:rsid w:val="00F04ED5"/>
    <w:rsid w:val="00F05F0B"/>
    <w:rsid w:val="00F12BA0"/>
    <w:rsid w:val="00F131B8"/>
    <w:rsid w:val="00F164C7"/>
    <w:rsid w:val="00F2776F"/>
    <w:rsid w:val="00F277D7"/>
    <w:rsid w:val="00F30865"/>
    <w:rsid w:val="00F30F58"/>
    <w:rsid w:val="00F3111D"/>
    <w:rsid w:val="00F31155"/>
    <w:rsid w:val="00F326DF"/>
    <w:rsid w:val="00F33D71"/>
    <w:rsid w:val="00F367FA"/>
    <w:rsid w:val="00F420C7"/>
    <w:rsid w:val="00F43860"/>
    <w:rsid w:val="00F50729"/>
    <w:rsid w:val="00F53466"/>
    <w:rsid w:val="00F53A55"/>
    <w:rsid w:val="00F55C07"/>
    <w:rsid w:val="00F56857"/>
    <w:rsid w:val="00F6005F"/>
    <w:rsid w:val="00F63FF7"/>
    <w:rsid w:val="00F82099"/>
    <w:rsid w:val="00F8276C"/>
    <w:rsid w:val="00F838AE"/>
    <w:rsid w:val="00F84206"/>
    <w:rsid w:val="00F90094"/>
    <w:rsid w:val="00F9109E"/>
    <w:rsid w:val="00F91983"/>
    <w:rsid w:val="00F92F4B"/>
    <w:rsid w:val="00F944A3"/>
    <w:rsid w:val="00F94674"/>
    <w:rsid w:val="00F9524B"/>
    <w:rsid w:val="00FA793C"/>
    <w:rsid w:val="00FB37F2"/>
    <w:rsid w:val="00FB61F8"/>
    <w:rsid w:val="00FB68E9"/>
    <w:rsid w:val="00FC2E2D"/>
    <w:rsid w:val="00FC4366"/>
    <w:rsid w:val="00FC5B40"/>
    <w:rsid w:val="00FC721E"/>
    <w:rsid w:val="00FD1CA9"/>
    <w:rsid w:val="00FD2358"/>
    <w:rsid w:val="00FD5FBE"/>
    <w:rsid w:val="00FD650C"/>
    <w:rsid w:val="00FD6D10"/>
    <w:rsid w:val="00FD739B"/>
    <w:rsid w:val="00FE0678"/>
    <w:rsid w:val="00FE37EC"/>
    <w:rsid w:val="00FE3ADB"/>
    <w:rsid w:val="00FE4035"/>
    <w:rsid w:val="00FF0C5C"/>
    <w:rsid w:val="00FF6A8B"/>
    <w:rsid w:val="08ED2455"/>
    <w:rsid w:val="25B54D5D"/>
    <w:rsid w:val="2C524AA4"/>
    <w:rsid w:val="2CD35C29"/>
    <w:rsid w:val="2FA16614"/>
    <w:rsid w:val="31206E2E"/>
    <w:rsid w:val="3A792F48"/>
    <w:rsid w:val="4A791606"/>
    <w:rsid w:val="668441F3"/>
    <w:rsid w:val="6A010FA4"/>
    <w:rsid w:val="6C7F1A34"/>
    <w:rsid w:val="6EB22BCB"/>
    <w:rsid w:val="7CBC2D36"/>
    <w:rsid w:val="7FEB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qFormat/>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2">
    <w:name w:val="页眉 Char"/>
    <w:basedOn w:val="a0"/>
    <w:link w:val="a6"/>
    <w:qFormat/>
    <w:rPr>
      <w:rFonts w:ascii="Times New Roman" w:eastAsia="宋体" w:hAnsi="Times New Roman"/>
      <w:kern w:val="2"/>
      <w:sz w:val="18"/>
      <w:szCs w:val="18"/>
    </w:rPr>
  </w:style>
  <w:style w:type="character" w:customStyle="1" w:styleId="Char1">
    <w:name w:val="页脚 Char"/>
    <w:basedOn w:val="a0"/>
    <w:link w:val="a5"/>
    <w:uiPriority w:val="99"/>
    <w:qFormat/>
    <w:rPr>
      <w:rFonts w:ascii="Times New Roman" w:eastAsia="宋体" w:hAnsi="Times New Roman"/>
      <w:kern w:val="2"/>
      <w:sz w:val="18"/>
      <w:szCs w:val="18"/>
    </w:rPr>
  </w:style>
  <w:style w:type="character" w:customStyle="1" w:styleId="Char0">
    <w:name w:val="批注框文本 Char"/>
    <w:basedOn w:val="a0"/>
    <w:link w:val="a4"/>
    <w:uiPriority w:val="99"/>
    <w:semiHidden/>
    <w:qFormat/>
    <w:rPr>
      <w:rFonts w:ascii="Times New Roman" w:eastAsia="宋体" w:hAnsi="Times New Roman"/>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kern w:val="2"/>
      <w:sz w:val="21"/>
      <w:szCs w:val="24"/>
    </w:rPr>
  </w:style>
  <w:style w:type="character" w:customStyle="1" w:styleId="Char3">
    <w:name w:val="批注主题 Char"/>
    <w:basedOn w:val="Char"/>
    <w:link w:val="a7"/>
    <w:uiPriority w:val="99"/>
    <w:semiHidden/>
    <w:qFormat/>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qFormat/>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2">
    <w:name w:val="页眉 Char"/>
    <w:basedOn w:val="a0"/>
    <w:link w:val="a6"/>
    <w:qFormat/>
    <w:rPr>
      <w:rFonts w:ascii="Times New Roman" w:eastAsia="宋体" w:hAnsi="Times New Roman"/>
      <w:kern w:val="2"/>
      <w:sz w:val="18"/>
      <w:szCs w:val="18"/>
    </w:rPr>
  </w:style>
  <w:style w:type="character" w:customStyle="1" w:styleId="Char1">
    <w:name w:val="页脚 Char"/>
    <w:basedOn w:val="a0"/>
    <w:link w:val="a5"/>
    <w:uiPriority w:val="99"/>
    <w:qFormat/>
    <w:rPr>
      <w:rFonts w:ascii="Times New Roman" w:eastAsia="宋体" w:hAnsi="Times New Roman"/>
      <w:kern w:val="2"/>
      <w:sz w:val="18"/>
      <w:szCs w:val="18"/>
    </w:rPr>
  </w:style>
  <w:style w:type="character" w:customStyle="1" w:styleId="Char0">
    <w:name w:val="批注框文本 Char"/>
    <w:basedOn w:val="a0"/>
    <w:link w:val="a4"/>
    <w:uiPriority w:val="99"/>
    <w:semiHidden/>
    <w:qFormat/>
    <w:rPr>
      <w:rFonts w:ascii="Times New Roman" w:eastAsia="宋体" w:hAnsi="Times New Roman"/>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kern w:val="2"/>
      <w:sz w:val="21"/>
      <w:szCs w:val="24"/>
    </w:rPr>
  </w:style>
  <w:style w:type="character" w:customStyle="1" w:styleId="Char3">
    <w:name w:val="批注主题 Char"/>
    <w:basedOn w:val="Char"/>
    <w:link w:val="a7"/>
    <w:uiPriority w:val="99"/>
    <w:semiHidden/>
    <w:qFormat/>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80D2-9BE6-4713-BFD4-5AF7DB8B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360</Words>
  <Characters>2052</Characters>
  <Application>Microsoft Office Word</Application>
  <DocSecurity>0</DocSecurity>
  <Lines>17</Lines>
  <Paragraphs>4</Paragraphs>
  <ScaleCrop>false</ScaleCrop>
  <Company>www.sdwmbbs.com</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300219                                  证券简称：鸿利光电</dc:title>
  <dc:creator>深度完美技术论坛</dc:creator>
  <cp:lastModifiedBy>胡鹏新</cp:lastModifiedBy>
  <cp:revision>8</cp:revision>
  <cp:lastPrinted>2025-04-03T03:32:00Z</cp:lastPrinted>
  <dcterms:created xsi:type="dcterms:W3CDTF">2026-04-28T16:27:00Z</dcterms:created>
  <dcterms:modified xsi:type="dcterms:W3CDTF">2026-04-29T05:38:00Z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eyJoZGlkIjoiMzcxMzk3YWNhYWIxMTFlZjAxMGZmODg2MmQ0NGUyMjkiLCJ1c2VySWQiOiIxNDE4Mjk4NTk3In0=</vt:lpwstr>
  </property>
  <property fmtid="{D5CDD505-2E9C-101B-9397-08002B2CF9AE}" pid="4" name="ICV">
    <vt:lpwstr>F03ABEC923BD4AEB88F2E3E6500F45D3_12</vt:lpwstr>
  </property>
</Properties>
</file>