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20442">
      <w:pPr>
        <w:rPr>
          <w:rFonts w:ascii="宋体" w:hAnsi="宋体"/>
          <w:b/>
          <w:sz w:val="24"/>
        </w:rPr>
      </w:pPr>
      <w:r>
        <w:rPr>
          <w:rFonts w:hint="eastAsia" w:ascii="宋体" w:hAnsi="宋体"/>
          <w:b/>
          <w:sz w:val="24"/>
        </w:rPr>
        <w:t>证券代码：600222                                   证券简称：太龙药业</w:t>
      </w:r>
    </w:p>
    <w:p w14:paraId="57E127ED"/>
    <w:p w14:paraId="115CB948">
      <w:pPr>
        <w:jc w:val="center"/>
        <w:rPr>
          <w:rFonts w:ascii="黑体" w:hAnsi="黑体" w:eastAsia="黑体"/>
          <w:sz w:val="32"/>
        </w:rPr>
      </w:pPr>
      <w:r>
        <w:rPr>
          <w:rFonts w:ascii="黑体" w:hAnsi="黑体" w:eastAsia="黑体"/>
          <w:sz w:val="32"/>
        </w:rPr>
        <w:t>河南太龙药业股份有限公司</w:t>
      </w:r>
    </w:p>
    <w:p w14:paraId="51FE787C">
      <w:pPr>
        <w:jc w:val="center"/>
        <w:rPr>
          <w:rFonts w:ascii="黑体" w:hAnsi="黑体" w:eastAsia="黑体"/>
          <w:sz w:val="32"/>
        </w:rPr>
      </w:pPr>
      <w:r>
        <w:rPr>
          <w:rFonts w:ascii="黑体" w:hAnsi="黑体" w:eastAsia="黑体"/>
          <w:sz w:val="32"/>
        </w:rPr>
        <w:t>投资者关系活动记录表</w:t>
      </w:r>
    </w:p>
    <w:p w14:paraId="2EDAE1C9">
      <w:pPr>
        <w:jc w:val="center"/>
        <w:rPr>
          <w:rFonts w:ascii="黑体" w:hAnsi="黑体" w:eastAsia="黑体"/>
          <w:sz w:val="32"/>
        </w:rPr>
      </w:pPr>
      <w:r>
        <w:rPr>
          <w:rFonts w:ascii="黑体" w:hAnsi="黑体" w:eastAsia="黑体"/>
          <w:sz w:val="32"/>
        </w:rPr>
        <w:t>（</w:t>
      </w:r>
      <w:r>
        <w:rPr>
          <w:rFonts w:hint="eastAsia" w:ascii="黑体" w:hAnsi="黑体" w:eastAsia="黑体"/>
          <w:sz w:val="32"/>
        </w:rPr>
        <w:t>2</w:t>
      </w:r>
      <w:r>
        <w:rPr>
          <w:rFonts w:ascii="黑体" w:hAnsi="黑体" w:eastAsia="黑体"/>
          <w:sz w:val="32"/>
        </w:rPr>
        <w:t>02</w:t>
      </w:r>
      <w:r>
        <w:rPr>
          <w:rFonts w:hint="eastAsia" w:ascii="黑体" w:hAnsi="黑体" w:eastAsia="黑体"/>
          <w:sz w:val="32"/>
          <w:lang w:val="en-US" w:eastAsia="zh-CN"/>
        </w:rPr>
        <w:t>6</w:t>
      </w:r>
      <w:r>
        <w:rPr>
          <w:rFonts w:ascii="黑体" w:hAnsi="黑体" w:eastAsia="黑体"/>
          <w:sz w:val="32"/>
        </w:rPr>
        <w:t>年</w:t>
      </w:r>
      <w:r>
        <w:rPr>
          <w:rFonts w:hint="eastAsia" w:ascii="黑体" w:hAnsi="黑体" w:eastAsia="黑体"/>
          <w:sz w:val="32"/>
          <w:lang w:val="en-US" w:eastAsia="zh-CN"/>
        </w:rPr>
        <w:t>4</w:t>
      </w:r>
      <w:r>
        <w:rPr>
          <w:rFonts w:hint="eastAsia" w:ascii="黑体" w:hAnsi="黑体" w:eastAsia="黑体"/>
          <w:sz w:val="32"/>
        </w:rPr>
        <w:t>月</w:t>
      </w:r>
      <w:r>
        <w:rPr>
          <w:rFonts w:ascii="黑体" w:hAnsi="黑体" w:eastAsia="黑体"/>
          <w:sz w:val="32"/>
        </w:rPr>
        <w:t>）</w:t>
      </w:r>
    </w:p>
    <w:p w14:paraId="61971809"/>
    <w:tbl>
      <w:tblPr>
        <w:tblStyle w:val="11"/>
        <w:tblW w:w="10349" w:type="dxa"/>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6"/>
        <w:gridCol w:w="8363"/>
      </w:tblGrid>
      <w:tr w14:paraId="746EE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6" w:hRule="atLeast"/>
        </w:trPr>
        <w:tc>
          <w:tcPr>
            <w:tcW w:w="1986" w:type="dxa"/>
            <w:vAlign w:val="center"/>
          </w:tcPr>
          <w:p w14:paraId="09A53B3B">
            <w:pPr>
              <w:jc w:val="center"/>
              <w:rPr>
                <w:sz w:val="28"/>
              </w:rPr>
            </w:pPr>
            <w:r>
              <w:rPr>
                <w:sz w:val="28"/>
              </w:rPr>
              <w:t>投资者关系</w:t>
            </w:r>
          </w:p>
          <w:p w14:paraId="7E3633DA">
            <w:pPr>
              <w:jc w:val="center"/>
              <w:rPr>
                <w:sz w:val="28"/>
              </w:rPr>
            </w:pPr>
            <w:r>
              <w:rPr>
                <w:sz w:val="28"/>
              </w:rPr>
              <w:t>活动类别</w:t>
            </w:r>
          </w:p>
        </w:tc>
        <w:tc>
          <w:tcPr>
            <w:tcW w:w="8363" w:type="dxa"/>
          </w:tcPr>
          <w:p w14:paraId="237BB954">
            <w:pPr>
              <w:pStyle w:val="14"/>
              <w:jc w:val="both"/>
              <w:rPr>
                <w:rFonts w:hAnsi="Times New Roman"/>
                <w:sz w:val="28"/>
              </w:rPr>
            </w:pPr>
            <w:r>
              <w:rPr>
                <w:rFonts w:hint="eastAsia" w:hAnsi="Times New Roman"/>
                <w:sz w:val="28"/>
                <w:lang w:eastAsia="zh-CN"/>
              </w:rPr>
              <w:t>□</w:t>
            </w:r>
            <w:r>
              <w:rPr>
                <w:rFonts w:hint="eastAsia" w:hAnsi="Times New Roman"/>
                <w:sz w:val="28"/>
              </w:rPr>
              <w:t xml:space="preserve">特定对象调研     </w:t>
            </w:r>
            <w:r>
              <w:rPr>
                <w:rFonts w:hint="eastAsia" w:hAnsi="Times New Roman"/>
                <w:color w:val="auto"/>
                <w:sz w:val="28"/>
              </w:rPr>
              <w:t xml:space="preserve"> </w:t>
            </w:r>
            <w:r>
              <w:rPr>
                <w:rFonts w:hint="eastAsia" w:hAnsi="Times New Roman"/>
                <w:sz w:val="28"/>
                <w:lang w:eastAsia="zh-CN"/>
              </w:rPr>
              <w:t>□</w:t>
            </w:r>
            <w:r>
              <w:rPr>
                <w:rFonts w:hint="eastAsia" w:hAnsi="Times New Roman"/>
                <w:sz w:val="28"/>
              </w:rPr>
              <w:t>分析师会议</w:t>
            </w:r>
          </w:p>
          <w:p w14:paraId="390FE71A">
            <w:pPr>
              <w:pStyle w:val="14"/>
              <w:jc w:val="both"/>
              <w:rPr>
                <w:rFonts w:hAnsi="Times New Roman"/>
                <w:sz w:val="28"/>
              </w:rPr>
            </w:pPr>
            <w:r>
              <w:rPr>
                <w:rFonts w:hint="eastAsia" w:hAnsi="Times New Roman"/>
                <w:sz w:val="28"/>
              </w:rPr>
              <w:t xml:space="preserve">□媒体采访          </w:t>
            </w:r>
            <w:r>
              <w:rPr>
                <w:rFonts w:hint="eastAsia" w:hAnsi="Times New Roman"/>
                <w:sz w:val="28"/>
                <w:lang w:eastAsia="zh-CN"/>
              </w:rPr>
              <w:t>☑</w:t>
            </w:r>
            <w:r>
              <w:rPr>
                <w:rFonts w:hint="eastAsia" w:hAnsi="Times New Roman"/>
                <w:sz w:val="28"/>
              </w:rPr>
              <w:t>业绩说明会</w:t>
            </w:r>
          </w:p>
          <w:p w14:paraId="0F578CFC">
            <w:pPr>
              <w:pStyle w:val="14"/>
              <w:jc w:val="both"/>
              <w:rPr>
                <w:rFonts w:hAnsi="Times New Roman"/>
                <w:sz w:val="28"/>
              </w:rPr>
            </w:pPr>
            <w:r>
              <w:rPr>
                <w:rFonts w:hint="eastAsia" w:hAnsi="Times New Roman"/>
                <w:sz w:val="28"/>
              </w:rPr>
              <w:t>□新闻发布会        □路演活动</w:t>
            </w:r>
          </w:p>
          <w:p w14:paraId="3EC78576">
            <w:pPr>
              <w:pStyle w:val="14"/>
              <w:jc w:val="both"/>
              <w:rPr>
                <w:rFonts w:hAnsi="Times New Roman"/>
                <w:sz w:val="28"/>
              </w:rPr>
            </w:pPr>
            <w:r>
              <w:rPr>
                <w:rFonts w:hint="eastAsia" w:hAnsi="Times New Roman"/>
                <w:sz w:val="28"/>
              </w:rPr>
              <w:t xml:space="preserve">□现场参观          </w:t>
            </w:r>
            <w:r>
              <w:rPr>
                <w:rFonts w:hint="eastAsia" w:hAnsi="Times New Roman"/>
                <w:sz w:val="28"/>
                <w:lang w:eastAsia="zh-CN"/>
              </w:rPr>
              <w:t>□</w:t>
            </w:r>
            <w:r>
              <w:rPr>
                <w:rFonts w:hint="eastAsia" w:hAnsi="宋体"/>
                <w:sz w:val="28"/>
              </w:rPr>
              <w:t>电话会议</w:t>
            </w:r>
          </w:p>
          <w:p w14:paraId="74717964">
            <w:pPr>
              <w:pStyle w:val="14"/>
              <w:jc w:val="both"/>
              <w:rPr>
                <w:rFonts w:hAnsi="Times New Roman"/>
                <w:sz w:val="28"/>
                <w:u w:val="single"/>
              </w:rPr>
            </w:pPr>
            <w:r>
              <w:rPr>
                <w:rFonts w:hint="eastAsia" w:ascii="Segoe UI Symbol" w:hAnsi="Segoe UI Symbol" w:cs="Segoe UI Symbol"/>
                <w:sz w:val="28"/>
                <w:lang w:eastAsia="zh-CN"/>
              </w:rPr>
              <w:t>□</w:t>
            </w:r>
            <w:r>
              <w:rPr>
                <w:rFonts w:hint="eastAsia" w:hAnsi="Times New Roman"/>
                <w:sz w:val="28"/>
              </w:rPr>
              <w:t>其他</w:t>
            </w:r>
          </w:p>
        </w:tc>
      </w:tr>
      <w:tr w14:paraId="63462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vAlign w:val="center"/>
          </w:tcPr>
          <w:p w14:paraId="4AD84AD1">
            <w:pPr>
              <w:jc w:val="center"/>
              <w:rPr>
                <w:sz w:val="28"/>
              </w:rPr>
            </w:pPr>
            <w:r>
              <w:rPr>
                <w:sz w:val="28"/>
              </w:rPr>
              <w:t>会议时间</w:t>
            </w:r>
          </w:p>
        </w:tc>
        <w:tc>
          <w:tcPr>
            <w:tcW w:w="8363" w:type="dxa"/>
          </w:tcPr>
          <w:p w14:paraId="73A82FD4">
            <w:r>
              <w:rPr>
                <w:rFonts w:hint="eastAsia" w:ascii="宋体" w:hAnsi="宋体"/>
                <w:sz w:val="28"/>
              </w:rPr>
              <w:t>202</w:t>
            </w:r>
            <w:r>
              <w:rPr>
                <w:rFonts w:hint="eastAsia" w:ascii="宋体" w:hAnsi="宋体"/>
                <w:sz w:val="28"/>
                <w:lang w:val="en-US" w:eastAsia="zh-CN"/>
              </w:rPr>
              <w:t>6</w:t>
            </w:r>
            <w:r>
              <w:rPr>
                <w:rFonts w:hint="eastAsia" w:ascii="宋体" w:hAnsi="宋体"/>
                <w:sz w:val="28"/>
              </w:rPr>
              <w:t>年</w:t>
            </w:r>
            <w:r>
              <w:rPr>
                <w:rFonts w:hint="eastAsia" w:ascii="宋体" w:hAnsi="宋体"/>
                <w:sz w:val="28"/>
                <w:lang w:val="en-US" w:eastAsia="zh-CN"/>
              </w:rPr>
              <w:t>4</w:t>
            </w:r>
            <w:r>
              <w:rPr>
                <w:rFonts w:hint="eastAsia" w:ascii="宋体" w:hAnsi="宋体"/>
                <w:sz w:val="28"/>
              </w:rPr>
              <w:t>月</w:t>
            </w:r>
            <w:r>
              <w:rPr>
                <w:rFonts w:hint="eastAsia" w:ascii="宋体" w:hAnsi="宋体"/>
                <w:sz w:val="28"/>
                <w:lang w:val="en-US" w:eastAsia="zh-CN"/>
              </w:rPr>
              <w:t>24</w:t>
            </w:r>
            <w:r>
              <w:rPr>
                <w:rFonts w:hint="eastAsia" w:ascii="宋体" w:hAnsi="宋体"/>
                <w:sz w:val="28"/>
              </w:rPr>
              <w:t>日</w:t>
            </w:r>
            <w:r>
              <w:rPr>
                <w:rFonts w:hint="eastAsia" w:asciiTheme="minorEastAsia" w:hAnsiTheme="minorEastAsia"/>
                <w:sz w:val="28"/>
                <w:lang w:eastAsia="zh-CN"/>
              </w:rPr>
              <w:t>下</w:t>
            </w:r>
            <w:r>
              <w:rPr>
                <w:rFonts w:hint="eastAsia" w:asciiTheme="minorEastAsia" w:hAnsiTheme="minorEastAsia"/>
                <w:sz w:val="28"/>
              </w:rPr>
              <w:t>午1</w:t>
            </w:r>
            <w:r>
              <w:rPr>
                <w:rFonts w:hint="eastAsia" w:asciiTheme="minorEastAsia" w:hAnsiTheme="minorEastAsia"/>
                <w:sz w:val="28"/>
                <w:lang w:val="en-US" w:eastAsia="zh-CN"/>
              </w:rPr>
              <w:t>3</w:t>
            </w:r>
            <w:r>
              <w:rPr>
                <w:rFonts w:hint="eastAsia" w:asciiTheme="minorEastAsia" w:hAnsiTheme="minorEastAsia"/>
                <w:sz w:val="28"/>
              </w:rPr>
              <w:t>:00-1</w:t>
            </w:r>
            <w:r>
              <w:rPr>
                <w:rFonts w:hint="eastAsia" w:asciiTheme="minorEastAsia" w:hAnsiTheme="minorEastAsia"/>
                <w:sz w:val="28"/>
                <w:lang w:val="en-US" w:eastAsia="zh-CN"/>
              </w:rPr>
              <w:t>4</w:t>
            </w:r>
            <w:r>
              <w:rPr>
                <w:rFonts w:hint="eastAsia" w:asciiTheme="minorEastAsia" w:hAnsiTheme="minorEastAsia"/>
                <w:sz w:val="28"/>
              </w:rPr>
              <w:t>:</w:t>
            </w:r>
            <w:r>
              <w:rPr>
                <w:rFonts w:hint="eastAsia" w:asciiTheme="minorEastAsia" w:hAnsiTheme="minorEastAsia"/>
                <w:sz w:val="28"/>
                <w:lang w:val="en-US" w:eastAsia="zh-CN"/>
              </w:rPr>
              <w:t>45</w:t>
            </w:r>
            <w:r>
              <w:rPr>
                <w:rFonts w:ascii="宋体" w:hAnsi="宋体"/>
                <w:sz w:val="28"/>
              </w:rPr>
              <w:t xml:space="preserve">  </w:t>
            </w:r>
            <w:r>
              <w:rPr>
                <w:rFonts w:asciiTheme="minorEastAsia" w:hAnsiTheme="minorEastAsia"/>
                <w:sz w:val="28"/>
              </w:rPr>
              <w:t>公司</w:t>
            </w:r>
            <w:r>
              <w:rPr>
                <w:rFonts w:hint="eastAsia" w:asciiTheme="minorEastAsia" w:hAnsiTheme="minorEastAsia"/>
                <w:sz w:val="28"/>
              </w:rPr>
              <w:t>2025年年度业绩暨现金分红说明会</w:t>
            </w:r>
          </w:p>
        </w:tc>
      </w:tr>
      <w:tr w14:paraId="157D7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1986" w:type="dxa"/>
            <w:vAlign w:val="center"/>
          </w:tcPr>
          <w:p w14:paraId="4762D3C2">
            <w:pPr>
              <w:jc w:val="center"/>
              <w:rPr>
                <w:sz w:val="28"/>
              </w:rPr>
            </w:pPr>
            <w:r>
              <w:rPr>
                <w:sz w:val="28"/>
              </w:rPr>
              <w:t>会议地点</w:t>
            </w:r>
          </w:p>
        </w:tc>
        <w:tc>
          <w:tcPr>
            <w:tcW w:w="8363" w:type="dxa"/>
            <w:vAlign w:val="center"/>
          </w:tcPr>
          <w:p w14:paraId="698146DF">
            <w:pPr>
              <w:widowControl/>
              <w:rPr>
                <w:rFonts w:ascii="宋体" w:hAnsi="宋体"/>
                <w:sz w:val="28"/>
              </w:rPr>
            </w:pPr>
            <w:r>
              <w:rPr>
                <w:rFonts w:hint="eastAsia" w:asciiTheme="minorEastAsia" w:hAnsiTheme="minorEastAsia"/>
                <w:sz w:val="28"/>
              </w:rPr>
              <w:t>上海证券交易所上证路演中心：https://roadshow.sseinfo.com/</w:t>
            </w:r>
          </w:p>
        </w:tc>
      </w:tr>
      <w:tr w14:paraId="68215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vAlign w:val="center"/>
          </w:tcPr>
          <w:p w14:paraId="51B43578">
            <w:pPr>
              <w:jc w:val="center"/>
              <w:rPr>
                <w:sz w:val="28"/>
              </w:rPr>
            </w:pPr>
            <w:r>
              <w:rPr>
                <w:sz w:val="28"/>
              </w:rPr>
              <w:t>参与单位名称或人员姓名</w:t>
            </w:r>
          </w:p>
        </w:tc>
        <w:tc>
          <w:tcPr>
            <w:tcW w:w="8363" w:type="dxa"/>
            <w:vAlign w:val="center"/>
          </w:tcPr>
          <w:p w14:paraId="0C46E5BD">
            <w:pPr>
              <w:rPr>
                <w:rFonts w:ascii="宋体" w:hAnsi="宋体"/>
                <w:sz w:val="28"/>
                <w:szCs w:val="28"/>
              </w:rPr>
            </w:pPr>
            <w:r>
              <w:rPr>
                <w:rFonts w:hint="eastAsia" w:asciiTheme="minorEastAsia" w:hAnsiTheme="minorEastAsia"/>
                <w:sz w:val="28"/>
                <w:szCs w:val="24"/>
                <w:lang w:val="en-US" w:eastAsia="zh-CN"/>
              </w:rPr>
              <w:t>线上</w:t>
            </w:r>
            <w:r>
              <w:rPr>
                <w:rFonts w:hint="eastAsia" w:asciiTheme="minorEastAsia" w:hAnsiTheme="minorEastAsia"/>
                <w:sz w:val="28"/>
                <w:szCs w:val="24"/>
              </w:rPr>
              <w:t>参与公司2025年年度业绩暨现金分红说明会的广大投资者</w:t>
            </w:r>
          </w:p>
        </w:tc>
      </w:tr>
      <w:tr w14:paraId="4867E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trPr>
        <w:tc>
          <w:tcPr>
            <w:tcW w:w="1986" w:type="dxa"/>
            <w:vAlign w:val="center"/>
          </w:tcPr>
          <w:p w14:paraId="2C9DD5D5">
            <w:pPr>
              <w:jc w:val="center"/>
              <w:rPr>
                <w:sz w:val="28"/>
              </w:rPr>
            </w:pPr>
            <w:r>
              <w:rPr>
                <w:sz w:val="28"/>
              </w:rPr>
              <w:t>上市公司</w:t>
            </w:r>
          </w:p>
          <w:p w14:paraId="6EDBC833">
            <w:pPr>
              <w:jc w:val="center"/>
              <w:rPr>
                <w:sz w:val="28"/>
              </w:rPr>
            </w:pPr>
            <w:r>
              <w:rPr>
                <w:sz w:val="28"/>
              </w:rPr>
              <w:t>接待人员</w:t>
            </w:r>
          </w:p>
        </w:tc>
        <w:tc>
          <w:tcPr>
            <w:tcW w:w="8363" w:type="dxa"/>
            <w:vAlign w:val="center"/>
          </w:tcPr>
          <w:p w14:paraId="12D40869">
            <w:pPr>
              <w:pStyle w:val="14"/>
              <w:tabs>
                <w:tab w:val="left" w:pos="675"/>
              </w:tabs>
              <w:spacing w:line="312" w:lineRule="auto"/>
              <w:jc w:val="both"/>
              <w:rPr>
                <w:rFonts w:asciiTheme="minorEastAsia" w:hAnsiTheme="minorEastAsia" w:eastAsiaTheme="minorEastAsia"/>
                <w:sz w:val="28"/>
                <w:szCs w:val="28"/>
              </w:rPr>
            </w:pPr>
            <w:r>
              <w:rPr>
                <w:rFonts w:asciiTheme="minorEastAsia" w:hAnsiTheme="minorEastAsia" w:eastAsiaTheme="minorEastAsia"/>
                <w:sz w:val="28"/>
                <w:szCs w:val="28"/>
              </w:rPr>
              <w:t>董事长：</w:t>
            </w:r>
            <w:r>
              <w:rPr>
                <w:rFonts w:hint="eastAsia" w:asciiTheme="minorEastAsia" w:hAnsiTheme="minorEastAsia" w:eastAsiaTheme="minorEastAsia"/>
                <w:sz w:val="28"/>
                <w:szCs w:val="28"/>
              </w:rPr>
              <w:t>王荣涛</w:t>
            </w:r>
          </w:p>
          <w:p w14:paraId="0E2D3C7B">
            <w:pPr>
              <w:pStyle w:val="14"/>
              <w:tabs>
                <w:tab w:val="left" w:pos="675"/>
              </w:tabs>
              <w:spacing w:line="312" w:lineRule="auto"/>
              <w:jc w:val="both"/>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rPr>
              <w:t>独立董事：</w:t>
            </w:r>
            <w:r>
              <w:rPr>
                <w:rFonts w:hint="eastAsia" w:asciiTheme="minorEastAsia" w:hAnsiTheme="minorEastAsia" w:eastAsiaTheme="minorEastAsia"/>
                <w:sz w:val="28"/>
                <w:szCs w:val="28"/>
                <w:lang w:val="en-US" w:eastAsia="zh-CN"/>
              </w:rPr>
              <w:t>陈琪、刘玉敏、方亮</w:t>
            </w:r>
          </w:p>
          <w:p w14:paraId="18557BA8">
            <w:pPr>
              <w:pStyle w:val="14"/>
              <w:tabs>
                <w:tab w:val="left" w:pos="675"/>
              </w:tabs>
              <w:spacing w:line="312" w:lineRule="auto"/>
              <w:jc w:val="both"/>
              <w:rPr>
                <w:rFonts w:asciiTheme="minorEastAsia" w:hAnsiTheme="minorEastAsia"/>
                <w:sz w:val="28"/>
                <w:szCs w:val="28"/>
              </w:rPr>
            </w:pPr>
            <w:r>
              <w:rPr>
                <w:rFonts w:asciiTheme="minorEastAsia" w:hAnsiTheme="minorEastAsia"/>
                <w:sz w:val="28"/>
                <w:szCs w:val="28"/>
              </w:rPr>
              <w:t>财务负责人：赵海林</w:t>
            </w:r>
          </w:p>
          <w:p w14:paraId="45E9B442">
            <w:pPr>
              <w:pStyle w:val="14"/>
              <w:tabs>
                <w:tab w:val="left" w:pos="675"/>
              </w:tabs>
              <w:spacing w:line="312" w:lineRule="auto"/>
              <w:jc w:val="both"/>
              <w:rPr>
                <w:rFonts w:hAnsi="宋体"/>
                <w:sz w:val="28"/>
                <w:szCs w:val="28"/>
              </w:rPr>
            </w:pPr>
            <w:r>
              <w:rPr>
                <w:rFonts w:hint="eastAsia" w:asciiTheme="minorEastAsia" w:hAnsiTheme="minorEastAsia"/>
                <w:sz w:val="28"/>
                <w:szCs w:val="28"/>
              </w:rPr>
              <w:t>董事会秘书：李念云</w:t>
            </w:r>
          </w:p>
        </w:tc>
      </w:tr>
      <w:tr w14:paraId="5D3A6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vAlign w:val="center"/>
          </w:tcPr>
          <w:p w14:paraId="567A8B3A">
            <w:pPr>
              <w:jc w:val="center"/>
              <w:rPr>
                <w:sz w:val="28"/>
              </w:rPr>
            </w:pPr>
            <w:r>
              <w:rPr>
                <w:sz w:val="28"/>
              </w:rPr>
              <w:t>投资者关系</w:t>
            </w:r>
          </w:p>
          <w:p w14:paraId="0F2E2645">
            <w:pPr>
              <w:jc w:val="center"/>
              <w:rPr>
                <w:sz w:val="28"/>
              </w:rPr>
            </w:pPr>
            <w:r>
              <w:rPr>
                <w:sz w:val="28"/>
              </w:rPr>
              <w:t>活动主要内容</w:t>
            </w:r>
          </w:p>
        </w:tc>
        <w:tc>
          <w:tcPr>
            <w:tcW w:w="8363" w:type="dxa"/>
          </w:tcPr>
          <w:p w14:paraId="24726972">
            <w:pPr>
              <w:ind w:firstLine="562" w:firstLineChars="200"/>
              <w:rPr>
                <w:rFonts w:asciiTheme="minorEastAsia" w:hAnsiTheme="minorEastAsia"/>
                <w:b/>
                <w:sz w:val="28"/>
                <w:szCs w:val="24"/>
              </w:rPr>
            </w:pPr>
            <w:r>
              <w:rPr>
                <w:rFonts w:hint="eastAsia" w:asciiTheme="minorEastAsia" w:hAnsiTheme="minorEastAsia"/>
                <w:b/>
                <w:sz w:val="28"/>
                <w:szCs w:val="24"/>
              </w:rPr>
              <w:t>公司2025年年度业绩暨现金分红说明会主要就投资者提出的相关问题进行互动和沟通，主要内容如下：</w:t>
            </w:r>
          </w:p>
          <w:p w14:paraId="6F86935C">
            <w:pPr>
              <w:ind w:firstLine="562" w:firstLineChars="200"/>
              <w:rPr>
                <w:rFonts w:hint="eastAsia" w:asciiTheme="minorEastAsia" w:hAnsiTheme="minorEastAsia" w:eastAsiaTheme="minorEastAsia" w:cstheme="minorBidi"/>
                <w:b/>
                <w:bCs/>
                <w:sz w:val="28"/>
                <w:szCs w:val="24"/>
                <w:lang w:val="en-US" w:eastAsia="zh-CN"/>
              </w:rPr>
            </w:pPr>
            <w:r>
              <w:rPr>
                <w:rFonts w:hint="eastAsia" w:asciiTheme="minorEastAsia" w:hAnsiTheme="minorEastAsia" w:eastAsiaTheme="minorEastAsia" w:cstheme="minorBidi"/>
                <w:b/>
                <w:bCs/>
                <w:sz w:val="28"/>
                <w:szCs w:val="24"/>
                <w:lang w:val="en-US" w:eastAsia="zh-CN"/>
              </w:rPr>
              <w:t>一、预征集问答：</w:t>
            </w:r>
          </w:p>
          <w:p w14:paraId="638821BF">
            <w:pPr>
              <w:ind w:firstLine="562" w:firstLineChars="200"/>
              <w:rPr>
                <w:rFonts w:hint="eastAsia" w:asciiTheme="minorEastAsia" w:hAnsiTheme="minorEastAsia" w:eastAsiaTheme="minorEastAsia" w:cstheme="minorBidi"/>
                <w:b/>
                <w:bCs/>
                <w:sz w:val="28"/>
                <w:szCs w:val="24"/>
                <w:lang w:eastAsia="zh-CN"/>
              </w:rPr>
            </w:pPr>
            <w:r>
              <w:rPr>
                <w:rFonts w:hint="eastAsia" w:asciiTheme="minorEastAsia" w:hAnsiTheme="minorEastAsia" w:eastAsiaTheme="minorEastAsia" w:cstheme="minorBidi"/>
                <w:b/>
                <w:bCs/>
                <w:sz w:val="28"/>
                <w:szCs w:val="24"/>
                <w:lang w:val="en-US" w:eastAsia="zh-CN"/>
              </w:rPr>
              <w:t>1、</w:t>
            </w:r>
            <w:r>
              <w:rPr>
                <w:rFonts w:hint="eastAsia" w:asciiTheme="minorEastAsia" w:hAnsiTheme="minorEastAsia" w:eastAsiaTheme="minorEastAsia" w:cstheme="minorBidi"/>
                <w:b/>
                <w:bCs/>
                <w:sz w:val="28"/>
                <w:szCs w:val="24"/>
              </w:rPr>
              <w:t>定增和过户到哪步了，预计什么时候开股东大会</w:t>
            </w:r>
          </w:p>
          <w:p w14:paraId="635766E1">
            <w:pPr>
              <w:ind w:firstLine="560" w:firstLineChars="200"/>
              <w:rPr>
                <w:rFonts w:hint="eastAsia" w:asciiTheme="minorEastAsia" w:hAnsiTheme="minorEastAsia" w:eastAsiaTheme="minorEastAsia" w:cstheme="minorBidi"/>
                <w:sz w:val="28"/>
                <w:szCs w:val="24"/>
              </w:rPr>
            </w:pPr>
            <w:r>
              <w:rPr>
                <w:rFonts w:hint="eastAsia" w:asciiTheme="minorEastAsia" w:hAnsiTheme="minorEastAsia" w:eastAsiaTheme="minorEastAsia" w:cstheme="minorBidi"/>
                <w:sz w:val="28"/>
                <w:szCs w:val="24"/>
              </w:rPr>
              <w:t>答：尊敬的投资者您好，截至目前公司控制权变更相关事项尚处于有权国资主管部门审批阶段；向特定对象发行股票事项尚需公司股东会审议通过、上海证券交易所审核通过、中国证券监督管理委员会同意注册后方可实施。公司将持续密切关注事项进展情况，严格按照相关法律法规及监管要求，及时履行信息披露义务。上述事项能否取得批准或核准以及最终取得批准或核准的时间均存在不确定性，敬请广大投资者理性投资，注意投资风险。公司将严格按照相关法律法规的要求，在股东会召开前通过指定信息披露媒体发布公告，明确会议时间、召开方式等具体安排，有关信息以公司在上海证券交易所网站（www.sse.com.cn）和公司指定信息披露媒体刊登的公告为准。感谢您对公司的关注！</w:t>
            </w:r>
          </w:p>
          <w:p w14:paraId="1A070EBE">
            <w:pPr>
              <w:ind w:firstLine="562" w:firstLineChars="200"/>
              <w:rPr>
                <w:rFonts w:hint="eastAsia" w:asciiTheme="minorEastAsia" w:hAnsiTheme="minorEastAsia" w:eastAsiaTheme="minorEastAsia" w:cstheme="minorBidi"/>
                <w:b/>
                <w:bCs/>
                <w:sz w:val="28"/>
                <w:szCs w:val="24"/>
                <w:lang w:val="en-US" w:eastAsia="zh-CN"/>
              </w:rPr>
            </w:pPr>
            <w:r>
              <w:rPr>
                <w:rFonts w:hint="eastAsia" w:asciiTheme="minorEastAsia" w:hAnsiTheme="minorEastAsia" w:eastAsiaTheme="minorEastAsia" w:cstheme="minorBidi"/>
                <w:b/>
                <w:bCs/>
                <w:sz w:val="28"/>
                <w:szCs w:val="24"/>
                <w:lang w:val="en-US" w:eastAsia="zh-CN"/>
              </w:rPr>
              <w:t>二、现场互动交流：</w:t>
            </w:r>
          </w:p>
          <w:p w14:paraId="5AEA219E">
            <w:pPr>
              <w:ind w:firstLine="562" w:firstLineChars="200"/>
              <w:rPr>
                <w:rFonts w:hint="eastAsia" w:asciiTheme="minorEastAsia" w:hAnsiTheme="minorEastAsia" w:eastAsiaTheme="minorEastAsia" w:cstheme="minorBidi"/>
                <w:b/>
                <w:bCs/>
                <w:sz w:val="28"/>
                <w:szCs w:val="24"/>
              </w:rPr>
            </w:pPr>
            <w:r>
              <w:rPr>
                <w:rFonts w:hint="eastAsia" w:asciiTheme="minorEastAsia" w:hAnsiTheme="minorEastAsia" w:eastAsiaTheme="minorEastAsia" w:cstheme="minorBidi"/>
                <w:b/>
                <w:bCs/>
                <w:sz w:val="28"/>
                <w:szCs w:val="24"/>
                <w:lang w:val="en-US" w:eastAsia="zh-CN"/>
              </w:rPr>
              <w:t>1、</w:t>
            </w:r>
            <w:r>
              <w:rPr>
                <w:rFonts w:hint="eastAsia" w:asciiTheme="minorEastAsia" w:hAnsiTheme="minorEastAsia" w:eastAsiaTheme="minorEastAsia" w:cstheme="minorBidi"/>
                <w:b/>
                <w:bCs/>
                <w:sz w:val="28"/>
                <w:szCs w:val="24"/>
              </w:rPr>
              <w:t>在中医药振兴、集采等政策持续深化的背景下，管理层对中医药行业和公司未来的发展前景有何展望与信心？</w:t>
            </w:r>
          </w:p>
          <w:p w14:paraId="1C64129A">
            <w:pPr>
              <w:ind w:firstLine="560" w:firstLineChars="200"/>
              <w:rPr>
                <w:rFonts w:hint="eastAsia" w:asciiTheme="minorEastAsia" w:hAnsiTheme="minorEastAsia" w:eastAsiaTheme="minorEastAsia" w:cstheme="minorBidi"/>
                <w:sz w:val="28"/>
                <w:szCs w:val="24"/>
              </w:rPr>
            </w:pPr>
            <w:r>
              <w:rPr>
                <w:rFonts w:hint="eastAsia" w:asciiTheme="minorEastAsia" w:hAnsiTheme="minorEastAsia" w:eastAsiaTheme="minorEastAsia" w:cstheme="minorBidi"/>
                <w:sz w:val="28"/>
                <w:szCs w:val="24"/>
              </w:rPr>
              <w:t>答：2026年是“十五五”开局之年，结合中医药振兴及集采等政策导向，面对医药行业深度重构期的机遇与挑战，公司将保持战略定力，行稳致远，深入贯彻落实 “双轮驱动 +”发展战略，持续聚焦中药制造与药品研发服务核心主业。一是不断完善药品制剂产品矩阵，强化渠道管控能力；二是持续提升中药饮片溯源管理与质量管控水平，优化供应链体系；三是精进药品研发服务效能，提升项目产出质量与客户合作黏性；四是稳步推进“中药+”大健康产业链延伸，增强各业务板块协同效应，推动中药核心业务稳健增长，持续提升CRO研发服务综合竞争力。同时，公司将进一步加强应收账款管理，提高资金使用效率；持续推进精益化管理体系建设，不断提升运营管理效能；健全内控管理与风险防控体系，动态优化人才梯队建设，全面提升公司治理水平，推动公司高质量可持续发展。</w:t>
            </w:r>
          </w:p>
          <w:p w14:paraId="3EAF57D7">
            <w:pPr>
              <w:ind w:firstLine="562" w:firstLineChars="200"/>
              <w:rPr>
                <w:rFonts w:hint="eastAsia" w:asciiTheme="minorEastAsia" w:hAnsiTheme="minorEastAsia" w:eastAsiaTheme="minorEastAsia" w:cstheme="minorBidi"/>
                <w:b/>
                <w:bCs/>
                <w:sz w:val="28"/>
                <w:szCs w:val="24"/>
                <w:lang w:val="en-US" w:eastAsia="zh-CN"/>
              </w:rPr>
            </w:pPr>
            <w:r>
              <w:rPr>
                <w:rFonts w:hint="eastAsia" w:asciiTheme="minorEastAsia" w:hAnsiTheme="minorEastAsia" w:eastAsiaTheme="minorEastAsia" w:cstheme="minorBidi"/>
                <w:b/>
                <w:bCs/>
                <w:sz w:val="28"/>
                <w:szCs w:val="24"/>
                <w:lang w:val="en-US" w:eastAsia="zh-CN"/>
              </w:rPr>
              <w:t>2、公司在“药食同源”产品等大健康领域的布局进展如何？</w:t>
            </w:r>
          </w:p>
          <w:p w14:paraId="01441E7C">
            <w:pPr>
              <w:ind w:firstLine="560" w:firstLineChars="200"/>
              <w:rPr>
                <w:rFonts w:hint="eastAsia" w:asciiTheme="minorEastAsia" w:hAnsiTheme="minorEastAsia" w:eastAsiaTheme="minorEastAsia" w:cstheme="minorBidi"/>
                <w:sz w:val="28"/>
                <w:szCs w:val="24"/>
              </w:rPr>
            </w:pPr>
            <w:r>
              <w:rPr>
                <w:rFonts w:hint="eastAsia" w:asciiTheme="minorEastAsia" w:hAnsiTheme="minorEastAsia" w:eastAsiaTheme="minorEastAsia" w:cstheme="minorBidi"/>
                <w:sz w:val="28"/>
                <w:szCs w:val="24"/>
              </w:rPr>
              <w:t>答：尊敬的投资者您好，公司子公司桐君堂以“非遗工坊”、“浙江工匠工作室”等为载体，不断加大“桐君堂”、“药祖桐君”品牌宣传建设，构建大健康业务专业团队，锚定品质筑基、品牌增值、品类创新的经营方针，加大“中药+”“药食同源”产品的储备以及市场布局，目前已有补益类健康产品和气血调理、润燥护嗓、祛湿养生的代用茶饮等产品推出，后续还将根据市场反馈精研产品策略，提升目标市场拓展；未来将聚焦电商、药店等渠道，实施品牌焕新，紧抓现代健康消费需求升级带来的中医药养生市场新机遇。感谢您对公司的关注！</w:t>
            </w:r>
          </w:p>
          <w:p w14:paraId="4CE8956A">
            <w:pPr>
              <w:ind w:firstLine="562" w:firstLineChars="200"/>
              <w:rPr>
                <w:rFonts w:hint="eastAsia" w:asciiTheme="minorEastAsia" w:hAnsiTheme="minorEastAsia" w:eastAsiaTheme="minorEastAsia" w:cstheme="minorBidi"/>
                <w:b/>
                <w:bCs/>
                <w:sz w:val="28"/>
                <w:szCs w:val="24"/>
                <w:lang w:val="en-US" w:eastAsia="zh-CN"/>
              </w:rPr>
            </w:pPr>
            <w:r>
              <w:rPr>
                <w:rFonts w:hint="eastAsia" w:asciiTheme="minorEastAsia" w:hAnsiTheme="minorEastAsia" w:eastAsiaTheme="minorEastAsia" w:cstheme="minorBidi"/>
                <w:b/>
                <w:bCs/>
                <w:sz w:val="28"/>
                <w:szCs w:val="24"/>
                <w:lang w:val="en-US" w:eastAsia="zh-CN"/>
              </w:rPr>
              <w:t>3、年度为什么不分红？</w:t>
            </w:r>
          </w:p>
          <w:p w14:paraId="02743B9A">
            <w:pPr>
              <w:ind w:firstLine="560" w:firstLineChars="200"/>
              <w:rPr>
                <w:rFonts w:hint="eastAsia" w:asciiTheme="minorEastAsia" w:hAnsiTheme="minorEastAsia" w:eastAsiaTheme="minorEastAsia" w:cstheme="minorBidi"/>
                <w:sz w:val="28"/>
                <w:szCs w:val="24"/>
              </w:rPr>
            </w:pPr>
            <w:r>
              <w:rPr>
                <w:rFonts w:hint="eastAsia" w:asciiTheme="minorEastAsia" w:hAnsiTheme="minorEastAsia" w:eastAsiaTheme="minorEastAsia" w:cstheme="minorBidi"/>
                <w:sz w:val="28"/>
                <w:szCs w:val="24"/>
              </w:rPr>
              <w:t>答：尊敬的投资者您好，经公司董事会、股东会审议通过，公司于2026年1月实施了2025年前三季度利润分配，共计派发现金红利7,740,939.43元（含税）；2025年度公司以现金为对价，采用集中竞价方式已实施的股份回购金额8,787,964.79元，现金分红和回购金额合计16,528,904.22元，占本年度归属于上市公司股东净利润的比例27.55%。</w:t>
            </w:r>
          </w:p>
          <w:p w14:paraId="5B14DCC4">
            <w:pPr>
              <w:ind w:firstLine="560" w:firstLineChars="200"/>
              <w:rPr>
                <w:rFonts w:hint="eastAsia" w:asciiTheme="minorEastAsia" w:hAnsiTheme="minorEastAsia" w:eastAsiaTheme="minorEastAsia" w:cstheme="minorBidi"/>
                <w:sz w:val="28"/>
                <w:szCs w:val="24"/>
              </w:rPr>
            </w:pPr>
            <w:r>
              <w:rPr>
                <w:rFonts w:hint="eastAsia" w:asciiTheme="minorEastAsia" w:hAnsiTheme="minorEastAsia" w:eastAsiaTheme="minorEastAsia" w:cstheme="minorBidi"/>
                <w:sz w:val="28"/>
                <w:szCs w:val="24"/>
              </w:rPr>
              <w:t>结合行业特点和公司整体战略布局，经综合考虑现阶段公司经营规划与未来发展需要，为更好地平衡公司中长期可持续发展与全体股东长远利益，保障核心业务拓展的资金需求，董事会拟定公司2025年度末不再派发现金红利，不送红股，不以资本公积转增股本。相关具体内容详见公司在上海证券交易所网站（www.sse.com.cn）披露的公告。该事项尚需提交公司股东会审议，欢迎广大中小投资者参加公司2025年年度股东会并积极发表意见。</w:t>
            </w:r>
          </w:p>
          <w:p w14:paraId="6DA7035A">
            <w:pPr>
              <w:ind w:firstLine="562" w:firstLineChars="200"/>
              <w:rPr>
                <w:rFonts w:hint="eastAsia" w:asciiTheme="minorEastAsia" w:hAnsiTheme="minorEastAsia" w:eastAsiaTheme="minorEastAsia" w:cstheme="minorBidi"/>
                <w:b/>
                <w:bCs/>
                <w:sz w:val="28"/>
                <w:szCs w:val="24"/>
                <w:lang w:val="en-US" w:eastAsia="zh-CN"/>
              </w:rPr>
            </w:pPr>
            <w:r>
              <w:rPr>
                <w:rFonts w:hint="eastAsia" w:asciiTheme="minorEastAsia" w:hAnsiTheme="minorEastAsia" w:eastAsiaTheme="minorEastAsia" w:cstheme="minorBidi"/>
                <w:b/>
                <w:bCs/>
                <w:sz w:val="28"/>
                <w:szCs w:val="24"/>
                <w:lang w:val="en-US" w:eastAsia="zh-CN"/>
              </w:rPr>
              <w:t>4、作为公司的老用户，一直比较相信双黄连口服液的品质，但是双黄连一般是秋冬季节使用，现在天热了马上到夏天，建议公司开发一些有季节性互补的产品!</w:t>
            </w:r>
          </w:p>
          <w:p w14:paraId="4CEA51F1">
            <w:pPr>
              <w:ind w:firstLine="560" w:firstLineChars="200"/>
              <w:rPr>
                <w:rFonts w:hint="eastAsia" w:asciiTheme="minorEastAsia" w:hAnsiTheme="minorEastAsia" w:eastAsiaTheme="minorEastAsia" w:cstheme="minorBidi"/>
                <w:sz w:val="28"/>
                <w:szCs w:val="24"/>
              </w:rPr>
            </w:pPr>
            <w:r>
              <w:rPr>
                <w:rFonts w:hint="eastAsia" w:asciiTheme="minorEastAsia" w:hAnsiTheme="minorEastAsia" w:eastAsiaTheme="minorEastAsia" w:cstheme="minorBidi"/>
                <w:sz w:val="28"/>
                <w:szCs w:val="24"/>
              </w:rPr>
              <w:t>答：感谢您的建议。公司双黄连口服液、双金连合剂、泻热合剂均具有清热解毒之功效。公司适用于夏季的产品有加味藿香正气合剂和金银花露，二者适用场景有所不同。加味藿香正气合剂功能主治为“解表化湿，理气和中”，主要用于暑湿感冒，典型症状包括头痛身重胸闷、恶寒发热、脘腹胀痛、呕吐泄泻，加味藿香正气合剂不含酒精，驾车人群和酒精敏感者均可放心使用；金银花露功能主治为“清热解毒”，主要用于小儿痱毒、暑热口渴。请在药师指导下或参照药品说明书使用，谢谢您对公司的关注！</w:t>
            </w:r>
          </w:p>
          <w:p w14:paraId="4DFB3776">
            <w:pPr>
              <w:ind w:firstLine="562" w:firstLineChars="200"/>
              <w:rPr>
                <w:rFonts w:hint="eastAsia" w:asciiTheme="minorEastAsia" w:hAnsiTheme="minorEastAsia" w:eastAsiaTheme="minorEastAsia" w:cstheme="minorBidi"/>
                <w:b/>
                <w:bCs/>
                <w:sz w:val="28"/>
                <w:szCs w:val="24"/>
                <w:lang w:val="en-US" w:eastAsia="zh-CN"/>
              </w:rPr>
            </w:pPr>
            <w:r>
              <w:rPr>
                <w:rFonts w:hint="eastAsia" w:asciiTheme="minorEastAsia" w:hAnsiTheme="minorEastAsia" w:eastAsiaTheme="minorEastAsia" w:cstheme="minorBidi"/>
                <w:b/>
                <w:bCs/>
                <w:sz w:val="28"/>
                <w:szCs w:val="24"/>
                <w:lang w:val="en-US" w:eastAsia="zh-CN"/>
              </w:rPr>
              <w:t>5、中药饮片业务是你们的主要业务之一，近年来中药饮片逐步纳入集采，请问桐君堂作为“中华老字号”品牌，如何应对集采对利润的影响，如何保持市场份额？</w:t>
            </w:r>
          </w:p>
          <w:p w14:paraId="030CF7E7">
            <w:pPr>
              <w:ind w:firstLine="560" w:firstLineChars="200"/>
              <w:rPr>
                <w:rFonts w:hint="eastAsia" w:asciiTheme="minorEastAsia" w:hAnsiTheme="minorEastAsia" w:eastAsiaTheme="minorEastAsia" w:cstheme="minorBidi"/>
                <w:sz w:val="28"/>
                <w:szCs w:val="24"/>
              </w:rPr>
            </w:pPr>
            <w:r>
              <w:rPr>
                <w:rFonts w:hint="eastAsia" w:asciiTheme="minorEastAsia" w:hAnsiTheme="minorEastAsia" w:eastAsiaTheme="minorEastAsia" w:cstheme="minorBidi"/>
                <w:sz w:val="28"/>
                <w:szCs w:val="24"/>
              </w:rPr>
              <w:t>答：尊敬的投资者，您好！面对集采的政策导向，桐君堂主要从以下几个方面建立应对体系：一是加快完善全链条追溯体系，通过共建浙产道地药材种植基地，稳定原料价格与品质，提升供应链管理效率，并持续推行标准化种植、长期签约、产地加工减少损耗等加强成本管控；二是加大生产智能化改造投入，提高生产效率；三是做深做精优势品种品规，形成特色差异化发展路线，统筹资源配置，提升内部管理效率，聚焦高毛利客户，并优化客户分级与回款管理措施；四是积极参与集采，加快全国市场布局，在保障浙江省内优质客户续标率的同时，积极推进省外市场的拓展工作；五是提升品牌内涵，强化“桐君堂”、“药祖桐君”品牌宣传建设，加大“中药+”“药食同源”健康产品的储备以及市场布局。</w:t>
            </w:r>
          </w:p>
          <w:p w14:paraId="4935798E">
            <w:pPr>
              <w:ind w:firstLine="560" w:firstLineChars="200"/>
              <w:rPr>
                <w:rFonts w:hint="eastAsia" w:asciiTheme="minorEastAsia" w:hAnsiTheme="minorEastAsia" w:eastAsiaTheme="minorEastAsia" w:cstheme="minorBidi"/>
                <w:sz w:val="28"/>
                <w:szCs w:val="24"/>
              </w:rPr>
            </w:pPr>
            <w:r>
              <w:rPr>
                <w:rFonts w:hint="eastAsia" w:asciiTheme="minorEastAsia" w:hAnsiTheme="minorEastAsia" w:eastAsiaTheme="minorEastAsia" w:cstheme="minorBidi"/>
                <w:sz w:val="28"/>
                <w:szCs w:val="24"/>
              </w:rPr>
              <w:t>中药饮片集采对行业是挑战更是机遇。桐君堂将依托“中华老字号”的品牌底蕴、行业标准化发展趋势和和产业链的运营优势，坚守品质底线，稳健经营，推动业务板块提质增效。</w:t>
            </w:r>
          </w:p>
          <w:p w14:paraId="3E35E483">
            <w:pPr>
              <w:ind w:firstLine="562" w:firstLineChars="200"/>
              <w:rPr>
                <w:rFonts w:hint="eastAsia" w:asciiTheme="minorEastAsia" w:hAnsiTheme="minorEastAsia" w:eastAsiaTheme="minorEastAsia" w:cstheme="minorBidi"/>
                <w:b/>
                <w:bCs/>
                <w:sz w:val="28"/>
                <w:szCs w:val="24"/>
                <w:lang w:val="en-US" w:eastAsia="zh-CN"/>
              </w:rPr>
            </w:pPr>
            <w:r>
              <w:rPr>
                <w:rFonts w:hint="eastAsia" w:asciiTheme="minorEastAsia" w:hAnsiTheme="minorEastAsia" w:eastAsiaTheme="minorEastAsia" w:cstheme="minorBidi"/>
                <w:b/>
                <w:bCs/>
                <w:sz w:val="28"/>
                <w:szCs w:val="24"/>
                <w:lang w:val="en-US" w:eastAsia="zh-CN"/>
              </w:rPr>
              <w:t>6、去年公司中药研发方面有什么进展？</w:t>
            </w:r>
          </w:p>
          <w:p w14:paraId="49434D44">
            <w:pPr>
              <w:ind w:firstLine="560" w:firstLineChars="200"/>
              <w:rPr>
                <w:rFonts w:hint="eastAsia" w:asciiTheme="minorEastAsia" w:hAnsiTheme="minorEastAsia" w:eastAsiaTheme="minorEastAsia" w:cstheme="minorBidi"/>
                <w:sz w:val="28"/>
                <w:szCs w:val="24"/>
              </w:rPr>
            </w:pPr>
            <w:r>
              <w:rPr>
                <w:rFonts w:hint="eastAsia" w:asciiTheme="minorEastAsia" w:hAnsiTheme="minorEastAsia" w:eastAsiaTheme="minorEastAsia" w:cstheme="minorBidi"/>
                <w:sz w:val="28"/>
                <w:szCs w:val="24"/>
              </w:rPr>
              <w:t>答：公司中成药研发工作聚焦上市许可持有人转让、经典名方、同名同方及中药标准变更研究等核心领域。报告期内，泻热合剂完成生产标准变更，并获批增加产品规格；人参口服液通过生产场地变更现场GMP符合性检查；新产品金银花露实现上市销售；经典名方、同名同方、现有产品二次开发等多个在研项目均按计划推进。感谢您对公司的关注！</w:t>
            </w:r>
          </w:p>
          <w:p w14:paraId="7E7F3A61">
            <w:pPr>
              <w:ind w:firstLine="562" w:firstLineChars="200"/>
              <w:rPr>
                <w:rFonts w:hint="eastAsia" w:asciiTheme="minorEastAsia" w:hAnsiTheme="minorEastAsia" w:eastAsiaTheme="minorEastAsia" w:cstheme="minorBidi"/>
                <w:b/>
                <w:bCs/>
                <w:sz w:val="28"/>
                <w:szCs w:val="24"/>
                <w:lang w:val="en-US" w:eastAsia="zh-CN"/>
              </w:rPr>
            </w:pPr>
            <w:r>
              <w:rPr>
                <w:rFonts w:hint="eastAsia" w:asciiTheme="minorEastAsia" w:hAnsiTheme="minorEastAsia" w:eastAsiaTheme="minorEastAsia" w:cstheme="minorBidi"/>
                <w:b/>
                <w:bCs/>
                <w:sz w:val="28"/>
                <w:szCs w:val="24"/>
                <w:lang w:val="en-US" w:eastAsia="zh-CN"/>
              </w:rPr>
              <w:t>7、公司在年报中表示医药行业正面临政策密集调整、集采扩围及医保控费等多重压力，请问公司计划如何应对相关政策对产品价格及业务拓展的影响？</w:t>
            </w:r>
          </w:p>
          <w:p w14:paraId="19861FEA">
            <w:pPr>
              <w:ind w:firstLine="560" w:firstLineChars="200"/>
              <w:rPr>
                <w:rFonts w:hint="eastAsia" w:asciiTheme="minorEastAsia" w:hAnsiTheme="minorEastAsia" w:eastAsiaTheme="minorEastAsia" w:cstheme="minorBidi"/>
                <w:sz w:val="28"/>
                <w:szCs w:val="24"/>
              </w:rPr>
            </w:pPr>
            <w:r>
              <w:rPr>
                <w:rFonts w:hint="eastAsia" w:asciiTheme="minorEastAsia" w:hAnsiTheme="minorEastAsia" w:eastAsiaTheme="minorEastAsia" w:cstheme="minorBidi"/>
                <w:sz w:val="28"/>
                <w:szCs w:val="24"/>
              </w:rPr>
              <w:t>答：尊敬的投资者，您好！公司将密切关注产业政策和行业法规的变化，以政策为导向，及时调整经营策略和管理模式：积极参与药品集采，加强公司供应链成本管控，充分发挥品牌优势，提升公司产品的市场渗透率，支撑公司业务稳健发展；持续强化品类规划，科学布局产品管线，完善市场价格维护体系，提升产品渠道掌控力，保障产品价格体系的稳定；完善合规体系建设，加强全过程合规管理与风险管控；加速创新转型，积极推动数字化及新兴技术在药品制造全流程的应用，提高生产效率和产品质量；提高产品力，加快新产品研发与引入，探索拓展“中药+”产业，满足老年、儿童等特殊人群及广大人民群众在疾病预防、保健、治疗、康养等方面的健康需求。</w:t>
            </w:r>
          </w:p>
          <w:p w14:paraId="433D2347">
            <w:pPr>
              <w:ind w:firstLine="562" w:firstLineChars="200"/>
              <w:rPr>
                <w:rFonts w:hint="eastAsia" w:asciiTheme="minorEastAsia" w:hAnsiTheme="minorEastAsia" w:eastAsiaTheme="minorEastAsia" w:cstheme="minorBidi"/>
                <w:b/>
                <w:bCs/>
                <w:sz w:val="28"/>
                <w:szCs w:val="24"/>
                <w:lang w:val="en-US" w:eastAsia="zh-CN"/>
              </w:rPr>
            </w:pPr>
            <w:r>
              <w:rPr>
                <w:rFonts w:hint="eastAsia" w:asciiTheme="minorEastAsia" w:hAnsiTheme="minorEastAsia" w:eastAsiaTheme="minorEastAsia" w:cstheme="minorBidi"/>
                <w:b/>
                <w:bCs/>
                <w:sz w:val="28"/>
                <w:szCs w:val="24"/>
                <w:lang w:val="en-US" w:eastAsia="zh-CN"/>
              </w:rPr>
              <w:t>8、新药典对公司有什么影响?</w:t>
            </w:r>
          </w:p>
          <w:p w14:paraId="2B0CC030">
            <w:pPr>
              <w:ind w:firstLine="560" w:firstLineChars="200"/>
              <w:rPr>
                <w:rFonts w:hint="eastAsia" w:asciiTheme="minorEastAsia" w:hAnsiTheme="minorEastAsia" w:eastAsiaTheme="minorEastAsia" w:cstheme="minorBidi"/>
                <w:sz w:val="28"/>
                <w:szCs w:val="24"/>
              </w:rPr>
            </w:pPr>
            <w:r>
              <w:rPr>
                <w:rFonts w:hint="eastAsia" w:asciiTheme="minorEastAsia" w:hAnsiTheme="minorEastAsia" w:eastAsiaTheme="minorEastAsia" w:cstheme="minorBidi"/>
                <w:sz w:val="28"/>
                <w:szCs w:val="24"/>
              </w:rPr>
              <w:t>答：国家药监局、国家卫健委联合发布的2025年版《中华人民共和国药典》自2025年10月1日起正式施行。新版药典在中药材及饮片的安全性控制方面增加了新的检测方法和限度要求，特别是在农药残留、重金属及有害元素控制等方面提出更高标准。公司药品制剂、中药饮片及药品药材流通业务板块根据2025版《中国药典》完成质量标准修订。行业发展层面，在新药典的推动下，具备完善质控体系、规模化研发与高效全产业链的企业有望赢得更大发展空间。</w:t>
            </w:r>
          </w:p>
          <w:p w14:paraId="1A6B4134">
            <w:pPr>
              <w:ind w:firstLine="562" w:firstLineChars="200"/>
              <w:rPr>
                <w:rFonts w:hint="eastAsia" w:asciiTheme="minorEastAsia" w:hAnsiTheme="minorEastAsia" w:eastAsiaTheme="minorEastAsia" w:cstheme="minorBidi"/>
                <w:b/>
                <w:bCs/>
                <w:sz w:val="28"/>
                <w:szCs w:val="24"/>
                <w:lang w:val="en-US" w:eastAsia="zh-CN"/>
              </w:rPr>
            </w:pPr>
            <w:r>
              <w:rPr>
                <w:rFonts w:hint="eastAsia" w:asciiTheme="minorEastAsia" w:hAnsiTheme="minorEastAsia" w:eastAsiaTheme="minorEastAsia" w:cstheme="minorBidi"/>
                <w:b/>
                <w:bCs/>
                <w:sz w:val="28"/>
                <w:szCs w:val="24"/>
                <w:lang w:val="en-US" w:eastAsia="zh-CN"/>
              </w:rPr>
              <w:t>9、公司药品制剂板块的收入下降的原因是什么？2026年会有好转吗？</w:t>
            </w:r>
          </w:p>
          <w:p w14:paraId="03086EBA">
            <w:pPr>
              <w:ind w:firstLine="560" w:firstLineChars="200"/>
              <w:rPr>
                <w:rFonts w:hint="eastAsia" w:asciiTheme="minorEastAsia" w:hAnsiTheme="minorEastAsia" w:eastAsiaTheme="minorEastAsia" w:cstheme="minorBidi"/>
                <w:sz w:val="28"/>
                <w:szCs w:val="24"/>
              </w:rPr>
            </w:pPr>
            <w:r>
              <w:rPr>
                <w:rFonts w:hint="eastAsia" w:asciiTheme="minorEastAsia" w:hAnsiTheme="minorEastAsia" w:eastAsiaTheme="minorEastAsia" w:cstheme="minorBidi"/>
                <w:sz w:val="28"/>
                <w:szCs w:val="24"/>
              </w:rPr>
              <w:t>答：尊敬的投资者您好，公司药品制剂收入下降，主要系核心产品参与全国中成药集采并中选，受集采执标进度不一、产品价格调整等因素影响，叠加零售终端整合、医保支付改革及价格体系维护等多重因素，2025年度销售发货有所下滑。2026年，公司将根据行业政策调整经营策略，以巩固市场领先地位、深化品牌认知为基础，全面构建全渠道覆盖能力与精细化运营能力，聚焦价格维护、渠道重构、模式创新、终端纯销及新品增量等方向；以产品力提升与产业链整合为核心主线，推动中药主业实现规模化、品质化发展。</w:t>
            </w:r>
          </w:p>
          <w:p w14:paraId="33CCFBCC">
            <w:pPr>
              <w:ind w:firstLine="562" w:firstLineChars="200"/>
              <w:rPr>
                <w:rFonts w:hint="eastAsia" w:asciiTheme="minorEastAsia" w:hAnsiTheme="minorEastAsia" w:eastAsiaTheme="minorEastAsia" w:cstheme="minorBidi"/>
                <w:b/>
                <w:bCs/>
                <w:sz w:val="28"/>
                <w:szCs w:val="24"/>
                <w:lang w:val="en-US" w:eastAsia="zh-CN"/>
              </w:rPr>
            </w:pPr>
            <w:r>
              <w:rPr>
                <w:rFonts w:hint="eastAsia" w:asciiTheme="minorEastAsia" w:hAnsiTheme="minorEastAsia" w:eastAsiaTheme="minorEastAsia" w:cstheme="minorBidi"/>
                <w:b/>
                <w:bCs/>
                <w:sz w:val="28"/>
                <w:szCs w:val="24"/>
                <w:lang w:val="en-US" w:eastAsia="zh-CN"/>
              </w:rPr>
              <w:t>10、心血管病目前越来越高发，心脏</w:t>
            </w:r>
            <w:bookmarkStart w:id="0" w:name="_GoBack"/>
            <w:bookmarkEnd w:id="0"/>
            <w:r>
              <w:rPr>
                <w:rFonts w:hint="eastAsia" w:asciiTheme="minorEastAsia" w:hAnsiTheme="minorEastAsia" w:eastAsiaTheme="minorEastAsia" w:cstheme="minorBidi"/>
                <w:b/>
                <w:bCs/>
                <w:sz w:val="28"/>
                <w:szCs w:val="24"/>
                <w:lang w:val="en-US" w:eastAsia="zh-CN"/>
              </w:rPr>
              <w:t>健康也备受关注，请问公司有没有心脑血管方面的产品？</w:t>
            </w:r>
          </w:p>
          <w:p w14:paraId="1E97B4B2">
            <w:pPr>
              <w:ind w:firstLine="560" w:firstLineChars="200"/>
              <w:rPr>
                <w:rFonts w:hint="eastAsia" w:asciiTheme="minorEastAsia" w:hAnsiTheme="minorEastAsia" w:eastAsiaTheme="minorEastAsia" w:cstheme="minorBidi"/>
                <w:sz w:val="28"/>
                <w:szCs w:val="24"/>
              </w:rPr>
            </w:pPr>
            <w:r>
              <w:rPr>
                <w:rFonts w:hint="eastAsia" w:asciiTheme="minorEastAsia" w:hAnsiTheme="minorEastAsia" w:eastAsiaTheme="minorEastAsia" w:cstheme="minorBidi"/>
                <w:sz w:val="28"/>
                <w:szCs w:val="24"/>
              </w:rPr>
              <w:t>答：尊敬的投资者您好，公司中成药产品丹参口服液具有活血化瘀、通脉养心之功效，生脉饮能益气复脉、养阴生津。请在药师指导下或参照药品说明书使用。谢谢您对公司的关注!</w:t>
            </w:r>
          </w:p>
          <w:p w14:paraId="7BE3845B">
            <w:pPr>
              <w:ind w:firstLine="560" w:firstLineChars="200"/>
              <w:rPr>
                <w:rFonts w:hint="eastAsia" w:asciiTheme="minorEastAsia" w:hAnsiTheme="minorEastAsia" w:eastAsiaTheme="minorEastAsia" w:cstheme="minorBidi"/>
                <w:sz w:val="28"/>
                <w:szCs w:val="24"/>
              </w:rPr>
            </w:pPr>
          </w:p>
          <w:p w14:paraId="11611AA0">
            <w:pPr>
              <w:ind w:firstLine="562" w:firstLineChars="200"/>
              <w:rPr>
                <w:rFonts w:hint="eastAsia" w:asciiTheme="minorEastAsia" w:hAnsiTheme="minorEastAsia" w:eastAsiaTheme="minorEastAsia" w:cstheme="minorBidi"/>
                <w:sz w:val="28"/>
                <w:szCs w:val="24"/>
              </w:rPr>
            </w:pPr>
            <w:r>
              <w:rPr>
                <w:rFonts w:hint="eastAsia" w:asciiTheme="minorEastAsia" w:hAnsiTheme="minorEastAsia" w:eastAsiaTheme="minorEastAsia" w:cstheme="minorBidi"/>
                <w:b/>
                <w:bCs/>
                <w:sz w:val="28"/>
                <w:szCs w:val="24"/>
              </w:rPr>
              <w:t>温馨提示：</w:t>
            </w:r>
            <w:r>
              <w:rPr>
                <w:rFonts w:hint="eastAsia" w:asciiTheme="minorEastAsia" w:hAnsiTheme="minorEastAsia" w:eastAsiaTheme="minorEastAsia" w:cstheme="minorBidi"/>
                <w:sz w:val="28"/>
                <w:szCs w:val="24"/>
              </w:rPr>
              <w:t>本次说明会中涉及的对外部环境判断、公司发展战略、未来计划等部分前瞻性陈述，存在不确定性，并非历史事实，不构成公司对投资者的实质承诺，敬请广大投资者理性投资，注意投资风险。</w:t>
            </w:r>
          </w:p>
        </w:tc>
      </w:tr>
    </w:tbl>
    <w:p w14:paraId="65E21EBB">
      <w:pPr>
        <w:rPr>
          <w:b/>
          <w:sz w:val="24"/>
        </w:rPr>
      </w:pPr>
      <w:r>
        <w:rPr>
          <w:b/>
          <w:sz w:val="24"/>
        </w:rPr>
        <w:t>（以上活动不涉及应当披露但未披露的重大信息）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egoe UI Symbol">
    <w:panose1 w:val="020B0502040204020203"/>
    <w:charset w:val="00"/>
    <w:family w:val="swiss"/>
    <w:pitch w:val="default"/>
    <w:sig w:usb0="800001E3" w:usb1="1200FFEF" w:usb2="00040000" w:usb3="04000000"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5A5"/>
    <w:rsid w:val="000B65A5"/>
    <w:rsid w:val="00632090"/>
    <w:rsid w:val="0066506A"/>
    <w:rsid w:val="00EE2A2B"/>
    <w:rsid w:val="0DA6037A"/>
    <w:rsid w:val="193831D1"/>
    <w:rsid w:val="26557F83"/>
    <w:rsid w:val="3B1704E7"/>
    <w:rsid w:val="4BF50BE1"/>
    <w:rsid w:val="51F15F26"/>
    <w:rsid w:val="53225BCD"/>
    <w:rsid w:val="55C81CFD"/>
    <w:rsid w:val="5D6C64B2"/>
    <w:rsid w:val="60E24BD7"/>
    <w:rsid w:val="64177492"/>
    <w:rsid w:val="64D92F75"/>
    <w:rsid w:val="6CCB3B50"/>
    <w:rsid w:val="73C20333"/>
    <w:rsid w:val="7E2421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qFormat/>
    <w:uiPriority w:val="99"/>
    <w:pPr>
      <w:jc w:val="left"/>
    </w:pPr>
  </w:style>
  <w:style w:type="paragraph" w:styleId="3">
    <w:name w:val="Body Text"/>
    <w:basedOn w:val="1"/>
    <w:qFormat/>
    <w:uiPriority w:val="0"/>
    <w:pPr>
      <w:widowControl/>
      <w:kinsoku w:val="0"/>
      <w:autoSpaceDE w:val="0"/>
      <w:autoSpaceDN w:val="0"/>
      <w:adjustRightInd w:val="0"/>
      <w:snapToGrid w:val="0"/>
      <w:jc w:val="left"/>
      <w:textAlignment w:val="baseline"/>
    </w:pPr>
    <w:rPr>
      <w:rFonts w:ascii="宋体" w:hAnsi="宋体"/>
      <w:snapToGrid w:val="0"/>
      <w:color w:val="000000"/>
      <w:kern w:val="0"/>
      <w:sz w:val="11"/>
      <w:szCs w:val="11"/>
      <w:lang w:eastAsia="en-US"/>
    </w:rPr>
  </w:style>
  <w:style w:type="paragraph" w:styleId="4">
    <w:name w:val="Balloon Text"/>
    <w:basedOn w:val="1"/>
    <w:link w:val="21"/>
    <w:qFormat/>
    <w:uiPriority w:val="99"/>
    <w:rPr>
      <w:sz w:val="18"/>
      <w:szCs w:val="18"/>
    </w:rPr>
  </w:style>
  <w:style w:type="paragraph" w:styleId="5">
    <w:name w:val="footer"/>
    <w:basedOn w:val="1"/>
    <w:link w:val="17"/>
    <w:qFormat/>
    <w:uiPriority w:val="99"/>
    <w:pPr>
      <w:tabs>
        <w:tab w:val="center" w:pos="4153"/>
        <w:tab w:val="right" w:pos="8306"/>
      </w:tabs>
      <w:snapToGrid w:val="0"/>
      <w:jc w:val="left"/>
    </w:pPr>
    <w:rPr>
      <w:sz w:val="18"/>
      <w:szCs w:val="18"/>
    </w:rPr>
  </w:style>
  <w:style w:type="paragraph" w:styleId="6">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link w:val="23"/>
    <w:qFormat/>
    <w:uiPriority w:val="99"/>
    <w:rPr>
      <w:rFonts w:ascii="Courier New" w:hAnsi="Courier New" w:cs="Courier New"/>
      <w:sz w:val="20"/>
      <w:szCs w:val="20"/>
    </w:rPr>
  </w:style>
  <w:style w:type="paragraph" w:styleId="8">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9">
    <w:name w:val="annotation subject"/>
    <w:basedOn w:val="2"/>
    <w:next w:val="2"/>
    <w:link w:val="19"/>
    <w:qFormat/>
    <w:uiPriority w:val="99"/>
    <w:rPr>
      <w:b/>
      <w:bCs/>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qFormat/>
    <w:uiPriority w:val="99"/>
    <w:rPr>
      <w:sz w:val="21"/>
      <w:szCs w:val="21"/>
    </w:rPr>
  </w:style>
  <w:style w:type="paragraph" w:customStyle="1" w:styleId="1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页眉 Char"/>
    <w:basedOn w:val="12"/>
    <w:link w:val="6"/>
    <w:qFormat/>
    <w:uiPriority w:val="99"/>
    <w:rPr>
      <w:sz w:val="18"/>
      <w:szCs w:val="18"/>
    </w:rPr>
  </w:style>
  <w:style w:type="character" w:customStyle="1" w:styleId="17">
    <w:name w:val="页脚 Char"/>
    <w:basedOn w:val="12"/>
    <w:link w:val="5"/>
    <w:qFormat/>
    <w:uiPriority w:val="99"/>
    <w:rPr>
      <w:sz w:val="18"/>
      <w:szCs w:val="18"/>
    </w:rPr>
  </w:style>
  <w:style w:type="character" w:customStyle="1" w:styleId="18">
    <w:name w:val="批注文字 Char"/>
    <w:basedOn w:val="12"/>
    <w:link w:val="2"/>
    <w:qFormat/>
    <w:uiPriority w:val="99"/>
    <w:rPr>
      <w:rFonts w:ascii="Calibri" w:hAnsi="Calibri" w:eastAsia="宋体" w:cs="宋体"/>
      <w:kern w:val="2"/>
      <w:sz w:val="21"/>
      <w:szCs w:val="22"/>
    </w:rPr>
  </w:style>
  <w:style w:type="character" w:customStyle="1" w:styleId="19">
    <w:name w:val="批注主题 Char"/>
    <w:basedOn w:val="18"/>
    <w:link w:val="9"/>
    <w:qFormat/>
    <w:uiPriority w:val="99"/>
    <w:rPr>
      <w:rFonts w:ascii="Calibri" w:hAnsi="Calibri" w:eastAsia="宋体" w:cs="宋体"/>
      <w:b/>
      <w:bCs/>
      <w:kern w:val="2"/>
      <w:sz w:val="21"/>
      <w:szCs w:val="22"/>
    </w:rPr>
  </w:style>
  <w:style w:type="paragraph" w:customStyle="1" w:styleId="20">
    <w:name w:val="修订1"/>
    <w:qFormat/>
    <w:uiPriority w:val="99"/>
    <w:rPr>
      <w:rFonts w:ascii="Calibri" w:hAnsi="Calibri" w:eastAsia="宋体" w:cs="宋体"/>
      <w:kern w:val="2"/>
      <w:sz w:val="21"/>
      <w:szCs w:val="22"/>
      <w:lang w:val="en-US" w:eastAsia="zh-CN" w:bidi="ar-SA"/>
    </w:rPr>
  </w:style>
  <w:style w:type="character" w:customStyle="1" w:styleId="21">
    <w:name w:val="批注框文本 Char"/>
    <w:basedOn w:val="12"/>
    <w:link w:val="4"/>
    <w:qFormat/>
    <w:uiPriority w:val="99"/>
    <w:rPr>
      <w:rFonts w:ascii="Calibri" w:hAnsi="Calibri" w:eastAsia="宋体" w:cs="宋体"/>
      <w:kern w:val="2"/>
      <w:sz w:val="18"/>
      <w:szCs w:val="18"/>
    </w:rPr>
  </w:style>
  <w:style w:type="character" w:customStyle="1" w:styleId="22">
    <w:name w:val="highlight"/>
    <w:basedOn w:val="12"/>
    <w:qFormat/>
    <w:uiPriority w:val="0"/>
  </w:style>
  <w:style w:type="character" w:customStyle="1" w:styleId="23">
    <w:name w:val="HTML 预设格式 Char"/>
    <w:basedOn w:val="12"/>
    <w:link w:val="7"/>
    <w:qFormat/>
    <w:uiPriority w:val="99"/>
    <w:rPr>
      <w:rFonts w:ascii="Courier New" w:hAnsi="Courier New" w:eastAsia="宋体" w:cs="Courier New"/>
      <w:kern w:val="2"/>
    </w:rPr>
  </w:style>
  <w:style w:type="paragraph" w:styleId="24">
    <w:name w:val="No Spacing"/>
    <w:qFormat/>
    <w:uiPriority w:val="1"/>
    <w:pPr>
      <w:widowControl w:val="0"/>
    </w:pPr>
    <w:rPr>
      <w:rFonts w:ascii="Calibri" w:hAnsi="Calibri" w:eastAsia="宋体" w:cs="宋体"/>
      <w:kern w:val="2"/>
      <w:sz w:val="22"/>
      <w:szCs w:val="24"/>
      <w:lang w:val="en-US" w:eastAsia="zh-CN" w:bidi="ar-SA"/>
      <w14:ligatures w14:val="standardContextual"/>
    </w:rPr>
  </w:style>
  <w:style w:type="paragraph" w:customStyle="1" w:styleId="25">
    <w:name w:val="修订2"/>
    <w:qFormat/>
    <w:uiPriority w:val="99"/>
    <w:rPr>
      <w:rFonts w:ascii="Calibri" w:hAnsi="Calibri" w:eastAsia="宋体" w:cs="宋体"/>
      <w:kern w:val="2"/>
      <w:sz w:val="21"/>
      <w:szCs w:val="22"/>
      <w:lang w:val="en-US" w:eastAsia="zh-CN" w:bidi="ar-SA"/>
    </w:rPr>
  </w:style>
  <w:style w:type="paragraph" w:customStyle="1" w:styleId="26">
    <w:name w:val="Revision"/>
    <w:qFormat/>
    <w:uiPriority w:val="99"/>
    <w:rPr>
      <w:rFonts w:ascii="Calibri" w:hAnsi="Calibri" w:eastAsia="宋体" w:cs="宋体"/>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4A63F-1677-4FD5-9BBB-7B48622E60E5}">
  <ds:schemaRefs/>
</ds:datastoreItem>
</file>

<file path=docProps/app.xml><?xml version="1.0" encoding="utf-8"?>
<Properties xmlns="http://schemas.openxmlformats.org/officeDocument/2006/extended-properties" xmlns:vt="http://schemas.openxmlformats.org/officeDocument/2006/docPropsVTypes">
  <Template>Normal</Template>
  <Pages>7</Pages>
  <Words>6137</Words>
  <Characters>6292</Characters>
  <Lines>46</Lines>
  <Paragraphs>13</Paragraphs>
  <TotalTime>24</TotalTime>
  <ScaleCrop>false</ScaleCrop>
  <LinksUpToDate>false</LinksUpToDate>
  <CharactersWithSpaces>6481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2025-12-18T01:37:00Z</dcterms:created>
  <dc:creator>Microsoft 帐户</dc:creator>
  <cp:lastModifiedBy>吉思凡</cp:lastModifiedBy>
  <dcterms:modified xsi:type="dcterms:W3CDTF">2026-04-28T07:07:47Z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B9925C5EA23C4609BA2D33FF3A8FC87C_13</vt:lpwstr>
  </property>
  <property fmtid="{D5CDD505-2E9C-101B-9397-08002B2CF9AE}" pid="4" name="KSOTemplateDocerSaveRecord">
    <vt:lpwstr>eyJoZGlkIjoiOWFhZDYyNGQxODg3ZDc2MzQ4MTdiZDJkNGQ1M2EwY2IiLCJ1c2VySWQiOiI1MTEwMDg4MzcifQ==</vt:lpwstr>
  </property>
</Properties>
</file>