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ACED" w14:textId="5641D998" w:rsidR="003054C7" w:rsidRPr="003D019F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证券代码：600251                                证券简称：</w:t>
      </w:r>
      <w:proofErr w:type="gramStart"/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冠农股份</w:t>
      </w:r>
      <w:proofErr w:type="gramEnd"/>
    </w:p>
    <w:p w14:paraId="64162F3B" w14:textId="77777777" w:rsidR="003054C7" w:rsidRPr="002829A7" w:rsidRDefault="003054C7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</w:p>
    <w:p w14:paraId="0F8D1439" w14:textId="77777777" w:rsid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新疆冠农股份有限公司</w:t>
      </w:r>
    </w:p>
    <w:p w14:paraId="626B1B86" w14:textId="5160F468" w:rsidR="003054C7" w:rsidRPr="00BE2ADA" w:rsidRDefault="00000000" w:rsidP="00BE2ADA">
      <w:pPr>
        <w:adjustRightInd w:val="0"/>
        <w:snapToGrid w:val="0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 w:rsidRPr="00BE2ADA"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p w14:paraId="10B3D245" w14:textId="77777777" w:rsidR="003D019F" w:rsidRPr="002829A7" w:rsidRDefault="003D019F" w:rsidP="003D019F">
      <w:pPr>
        <w:adjustRightInd w:val="0"/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1B7F3B15" w14:textId="5C27DF67" w:rsidR="003054C7" w:rsidRPr="003D019F" w:rsidRDefault="00000000" w:rsidP="003D019F">
      <w:pPr>
        <w:spacing w:before="51" w:after="32"/>
        <w:ind w:right="139"/>
        <w:jc w:val="right"/>
        <w:rPr>
          <w:rFonts w:ascii="宋体" w:eastAsia="宋体" w:hAnsi="宋体" w:cs="宋体" w:hint="eastAsia"/>
          <w:sz w:val="24"/>
          <w:szCs w:val="24"/>
        </w:rPr>
      </w:pPr>
      <w:r w:rsidRPr="003D019F">
        <w:rPr>
          <w:rFonts w:ascii="宋体" w:eastAsia="宋体" w:hAnsi="宋体" w:cs="宋体" w:hint="eastAsia"/>
          <w:sz w:val="24"/>
          <w:szCs w:val="24"/>
        </w:rPr>
        <w:t>编号：</w:t>
      </w:r>
      <w:r w:rsidRPr="003D019F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E13500">
        <w:rPr>
          <w:rFonts w:ascii="宋体" w:eastAsia="宋体" w:hAnsi="宋体" w:cs="宋体" w:hint="eastAsia"/>
          <w:sz w:val="24"/>
          <w:szCs w:val="24"/>
          <w:lang w:val="en-US"/>
        </w:rPr>
        <w:t>60429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29"/>
      </w:tblGrid>
      <w:tr w:rsidR="003054C7" w:rsidRPr="003D019F" w14:paraId="5DDB730A" w14:textId="77777777" w:rsidTr="00E13500">
        <w:trPr>
          <w:trHeight w:val="702"/>
          <w:jc w:val="center"/>
        </w:trPr>
        <w:tc>
          <w:tcPr>
            <w:tcW w:w="1413" w:type="dxa"/>
            <w:vAlign w:val="center"/>
          </w:tcPr>
          <w:p w14:paraId="5E8DC2E4" w14:textId="77777777" w:rsidR="003054C7" w:rsidRPr="003D019F" w:rsidRDefault="00000000" w:rsidP="00E13500">
            <w:pPr>
              <w:pStyle w:val="TableParagraph"/>
              <w:adjustRightInd w:val="0"/>
              <w:snapToGrid w:val="0"/>
              <w:spacing w:before="1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229" w:type="dxa"/>
            <w:vAlign w:val="center"/>
          </w:tcPr>
          <w:p w14:paraId="772436E0" w14:textId="0B867E1B" w:rsidR="003054C7" w:rsidRPr="003D019F" w:rsidRDefault="00E13500" w:rsidP="00E13500">
            <w:pPr>
              <w:pStyle w:val="TableParagraph"/>
              <w:adjustRightInd w:val="0"/>
              <w:snapToGrid w:val="0"/>
              <w:ind w:left="107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3054C7" w:rsidRPr="003D019F" w14:paraId="0952D9A1" w14:textId="77777777" w:rsidTr="00E13500">
        <w:trPr>
          <w:trHeight w:val="570"/>
          <w:jc w:val="center"/>
        </w:trPr>
        <w:tc>
          <w:tcPr>
            <w:tcW w:w="1413" w:type="dxa"/>
            <w:vAlign w:val="center"/>
          </w:tcPr>
          <w:p w14:paraId="026CE36B" w14:textId="245A3B74" w:rsidR="003054C7" w:rsidRPr="003D019F" w:rsidRDefault="00E13500" w:rsidP="0034147D">
            <w:pPr>
              <w:pStyle w:val="TableParagraph"/>
              <w:adjustRightInd w:val="0"/>
              <w:snapToGrid w:val="0"/>
              <w:ind w:left="108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活动主题</w:t>
            </w:r>
          </w:p>
        </w:tc>
        <w:tc>
          <w:tcPr>
            <w:tcW w:w="7229" w:type="dxa"/>
            <w:vAlign w:val="center"/>
          </w:tcPr>
          <w:p w14:paraId="6BD2B69E" w14:textId="1D8718FC" w:rsidR="003054C7" w:rsidRPr="003D019F" w:rsidRDefault="00E13500" w:rsidP="00E13500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冠农股份</w:t>
            </w:r>
            <w:proofErr w:type="gramEnd"/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2025年年度暨2026年一季度业绩说明会</w:t>
            </w:r>
          </w:p>
        </w:tc>
      </w:tr>
      <w:tr w:rsidR="003054C7" w:rsidRPr="003D019F" w14:paraId="0EDFA8E6" w14:textId="77777777" w:rsidTr="00E13500">
        <w:trPr>
          <w:trHeight w:val="558"/>
          <w:jc w:val="center"/>
        </w:trPr>
        <w:tc>
          <w:tcPr>
            <w:tcW w:w="1413" w:type="dxa"/>
            <w:vAlign w:val="center"/>
          </w:tcPr>
          <w:p w14:paraId="5ADE360D" w14:textId="77777777" w:rsidR="003054C7" w:rsidRPr="003D019F" w:rsidRDefault="00000000" w:rsidP="003D019F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0DB9077" w14:textId="51C13E34" w:rsidR="003054C7" w:rsidRPr="003D019F" w:rsidRDefault="00E13500" w:rsidP="00E13500">
            <w:pPr>
              <w:adjustRightInd w:val="0"/>
              <w:snapToGrid w:val="0"/>
              <w:spacing w:before="100" w:beforeAutospacing="1" w:line="360" w:lineRule="auto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2026-04-29 - 11:00-12:00</w:t>
            </w:r>
          </w:p>
        </w:tc>
      </w:tr>
      <w:tr w:rsidR="00E13500" w:rsidRPr="003D019F" w14:paraId="1785F549" w14:textId="77777777" w:rsidTr="000013F8">
        <w:trPr>
          <w:trHeight w:val="561"/>
          <w:jc w:val="center"/>
        </w:trPr>
        <w:tc>
          <w:tcPr>
            <w:tcW w:w="1413" w:type="dxa"/>
            <w:vAlign w:val="center"/>
          </w:tcPr>
          <w:p w14:paraId="1DA9321D" w14:textId="528EFA52" w:rsidR="00E13500" w:rsidRPr="003D019F" w:rsidRDefault="00E13500" w:rsidP="00E13500">
            <w:pPr>
              <w:pStyle w:val="TableParagraph"/>
              <w:adjustRightInd w:val="0"/>
              <w:snapToGrid w:val="0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/方式</w:t>
            </w:r>
          </w:p>
        </w:tc>
        <w:tc>
          <w:tcPr>
            <w:tcW w:w="7229" w:type="dxa"/>
          </w:tcPr>
          <w:p w14:paraId="4C0DF392" w14:textId="4E4602A0" w:rsidR="00E13500" w:rsidRDefault="00E13500" w:rsidP="00E13500">
            <w:pPr>
              <w:rPr>
                <w:rStyle w:val="af"/>
                <w:rFonts w:ascii="宋体" w:hAnsi="宋体" w:hint="eastAsia"/>
                <w:bCs/>
                <w:sz w:val="24"/>
              </w:rPr>
            </w:pPr>
            <w:r w:rsidRPr="00E1350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上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证路演中心</w:t>
            </w:r>
            <w:proofErr w:type="gramEnd"/>
            <w:r>
              <w:fldChar w:fldCharType="begin"/>
            </w:r>
            <w:r>
              <w:instrText>HYPERLINK "https://roadshow.sseinfo.com"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af"/>
                <w:rFonts w:ascii="宋体" w:hAnsi="宋体" w:hint="eastAsia"/>
                <w:bCs/>
                <w:sz w:val="24"/>
              </w:rPr>
              <w:t>https://roadshow.sseinfo.com</w:t>
            </w:r>
            <w:r>
              <w:fldChar w:fldCharType="end"/>
            </w:r>
          </w:p>
          <w:p w14:paraId="4BBA3D1D" w14:textId="7A23D777" w:rsidR="00E13500" w:rsidRPr="00E13500" w:rsidRDefault="00E13500" w:rsidP="00E13500">
            <w:pP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E1350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lang w:val="en-GB"/>
              </w:rPr>
              <w:t>网络文字互动</w:t>
            </w:r>
          </w:p>
        </w:tc>
      </w:tr>
      <w:tr w:rsidR="00E13500" w:rsidRPr="003D019F" w14:paraId="6C851A46" w14:textId="77777777" w:rsidTr="00E13500">
        <w:trPr>
          <w:trHeight w:val="558"/>
          <w:jc w:val="center"/>
        </w:trPr>
        <w:tc>
          <w:tcPr>
            <w:tcW w:w="1413" w:type="dxa"/>
            <w:vAlign w:val="center"/>
          </w:tcPr>
          <w:p w14:paraId="18F1DFC5" w14:textId="2A5506D4" w:rsidR="00E13500" w:rsidRPr="003D019F" w:rsidRDefault="00E13500" w:rsidP="00E13500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E13500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7229" w:type="dxa"/>
            <w:vAlign w:val="center"/>
          </w:tcPr>
          <w:p w14:paraId="1A421D25" w14:textId="7F7E708F" w:rsidR="00E13500" w:rsidRPr="003D019F" w:rsidRDefault="00E13500" w:rsidP="00E13500">
            <w:pPr>
              <w:pStyle w:val="TableParagraph"/>
              <w:adjustRightInd w:val="0"/>
              <w:snapToGrid w:val="0"/>
              <w:spacing w:before="100" w:beforeAutospacing="1" w:line="276" w:lineRule="auto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董事长：刘中海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财务总监及董事会秘书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金建霞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  <w:t>独立董事及公司董事会审计委员会主任委员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：姚文英</w:t>
            </w:r>
          </w:p>
        </w:tc>
      </w:tr>
      <w:tr w:rsidR="00E13500" w:rsidRPr="003D019F" w14:paraId="0659BE0E" w14:textId="77777777" w:rsidTr="002829A7">
        <w:trPr>
          <w:trHeight w:val="1125"/>
          <w:jc w:val="center"/>
        </w:trPr>
        <w:tc>
          <w:tcPr>
            <w:tcW w:w="1413" w:type="dxa"/>
            <w:vAlign w:val="center"/>
          </w:tcPr>
          <w:p w14:paraId="6C1D67A0" w14:textId="77777777" w:rsidR="00E13500" w:rsidRPr="003D019F" w:rsidRDefault="00E13500" w:rsidP="00E135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139BF4F5" w14:textId="77777777" w:rsidR="00E13500" w:rsidRPr="003D019F" w:rsidRDefault="00E13500" w:rsidP="00E135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0D5BF38E" w14:textId="77777777" w:rsidR="00E13500" w:rsidRPr="003D019F" w:rsidRDefault="00E13500" w:rsidP="00E13500">
            <w:pPr>
              <w:pStyle w:val="TableParagraph"/>
              <w:adjustRightInd w:val="0"/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  <w:p w14:paraId="346D021D" w14:textId="77777777" w:rsidR="00E13500" w:rsidRPr="003D019F" w:rsidRDefault="00E13500" w:rsidP="00E13500">
            <w:pPr>
              <w:pStyle w:val="TableParagraph"/>
              <w:adjustRightInd w:val="0"/>
              <w:snapToGrid w:val="0"/>
              <w:ind w:left="107"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29" w:type="dxa"/>
            <w:vAlign w:val="center"/>
          </w:tcPr>
          <w:p w14:paraId="4EDC7EF4" w14:textId="79495005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1.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公司2025年分红比例35.68%，叠加中期分红累计1.24亿元。请问：① 在高比例分红下，如何保障产能扩建、技术研发等资本开支需求？② 当前PE（TTM）及PB估值处于行业什么水平？是否有市值管理措施（如回购、股权激励）以提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振市场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信心？③ 股东户数下降但户均持股市值上升，是否反映机构投资者增持？公司如何与中小股东沟通价值？</w:t>
            </w:r>
          </w:p>
          <w:p w14:paraId="6AD2FD20" w14:textId="5647AA20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尊敬的投资者，您好！①本次分红方案充分兼顾发展与回报，在保障日常生产经营、项目建设资金不受影响的前提下，合理制定的利润分配计划。②目前公司 PE、PB 低于行业平均水平。公司已制定并披露市值管理办法，当前及未来将按照办法合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开展市值管理，提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振市场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信心。③公司2026年第一季度报告披露的前十大股东中已有两名机构投资者。公司高度重视中小股东权益保障，通过业绩说明会、上证e互动、投资者热线等多元渠道保持常态化沟通，持续传递公司价值。</w:t>
            </w:r>
          </w:p>
          <w:p w14:paraId="08C2A70C" w14:textId="02F664DA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2025年研发投入同比下降36.9%，占比仅1.25%，但公司强调产业链延伸和技术升级。请问：① 研发费用缩减是否影响番茄精深加工、棉花高附加值产品开发等重点项目进度？② 如何平衡短期利润与长期技术投入？③ 在农产品加工行业同质化竞争加剧背景下，公司的技术护城河如何构建？</w:t>
            </w:r>
          </w:p>
          <w:p w14:paraId="2E8F34BA" w14:textId="072A69C2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①本次研发投入为结构性优化调整，番茄精深加工、棉花高附加值产品开发等重点研发项目均有序推进，项目整体进度未受影响。②公司科学统筹资源配置，聚焦核心研发方向、提升投入产出效能，加速成果转化应用，合理平衡短期盈利目标与中长期投入，保障企业可持续发展。③公司立足新疆资源禀赋与全产业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链优势，通过持续优化生产工艺、丰富高附加值产品，深化产学研合作，以差异化产品、成熟工艺及产业链一体化优势，破解同质化竞争，构建自身技术与产业核心壁垒。</w:t>
            </w:r>
          </w:p>
          <w:p w14:paraId="46E69458" w14:textId="6C5D330F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2025年经营现金流净额1.26亿元，同比暴跌79.52%，同期投资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现金流净流出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3.16亿元。请问：① 现金流骤降主因营收下滑和出口退税减少，公司如何应对资金链压力？是否有融资计划或资产处置安排？② 投资活动现金流出大增85.28%用于皮棉仓单交易及理财，是否涉及投机风险？审计委员会如何评估相关投资的合理性与安全性？③ 存贷双高现象（货币现金充裕但短期借款高）是否存在资金利用效率问题？</w:t>
            </w:r>
          </w:p>
          <w:p w14:paraId="23079724" w14:textId="610D25BB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 ①现金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流下降主要受营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收下降、出口退税减少影响，当前公司资金储备充足、融资渠道畅通，无资金链压力。公司将强化回款清收、严控费用开支、优化付款节奏，按需统筹融资与资产盘活安排，筑牢现金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流安全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防线。②投资现金流增加主要为皮棉仓单业务及日常暂时闲置资金理财，全程严格履行审批，不存在投机交易。审计委员会已审慎核查，认为业务合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合理、风险可控、资金运作安全。③存贷双高为结构性客观问题，贷款集中在混合所有制企业，存款主要在全资子公司，受监管要求无法用于偿还混合所有制企业的贷款。公司将持续优化资金统筹与负债结构，提升资金运营效率。感谢您的关注与支持！</w:t>
            </w:r>
          </w:p>
          <w:p w14:paraId="4FFC8E21" w14:textId="77777777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4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公司对于今年棉花价格如何看待？</w:t>
            </w:r>
          </w:p>
          <w:p w14:paraId="79ED0EC2" w14:textId="506D623B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国内经济温和复苏，产需两端同步回暖，为公司棉花产业奠定稳健需求基础；但全球层面受美国联邦基金利率高位、地缘政治风险加剧等影响，行业成本上升并传导至全产业链。据美国农业部USDA数据，中国市场上，供应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端显著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收缩，2026/27榨季预计产量697万吨，同比降8.6%，核心系新疆棉花种植面积调减；需求端温和增长，预计消费量856万吨，同比增0.8%，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刚需稳固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，年度供需缺口预计扩大至159万吨，紧平衡态势将显现。全球市场供需同步收紧，预计产量2526万吨（同比降3.2%）、消费量2615万吨（同比增1.2%），从小幅过剩转向紧平衡，支撑国际棉价并间接传导至国内。综合来看，2026年国内棉花价格整体震荡上行、先稳后涨，中枢显著上移；上半年受高库存压制呈区间震荡，下半年新棉减产预期兑现，供应偏紧将抬升价格。</w:t>
            </w:r>
          </w:p>
          <w:p w14:paraId="06185372" w14:textId="4985B045" w:rsidR="00E13500" w:rsidRPr="00CA14E2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 w:hint="eastAsia"/>
                <w:b/>
                <w:sz w:val="24"/>
                <w:szCs w:val="24"/>
              </w:rPr>
              <w:t>5.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一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季报业绩增长原因有哪些？目前国际形势是否对公司番茄业务有影响？公司对于今年番茄业务行情如何看待？</w:t>
            </w:r>
            <w:r w:rsidRPr="00CA14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1A1FBAB1" w14:textId="25125224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A14E2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尊敬的投资者，您好！公司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季报业绩增长主要系来自于参股公司国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投罗钾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的投资收益较上年同期大幅增加所致。当前全球主要番茄加工产区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正主动控产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以修复供需。据WPTC预测，2026年全球番茄加工产量预计3980万吨，较2025年小幅回落，远低于2023-2024年过剩水平，行业将逐步摆脱高产能、高库存的失衡状态。短期来看，全球番茄制品库存仍处高位，库存消化仍需时间，2026产季前期市场受高库存主导，国际价格低位震荡，采购端以稳健采购为主，缺乏大幅上涨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动力。国内方面，受行业亏损、产能闲置及经营修复需求驱动，2026产季部分企业恢复闲置产能具必然性。WPTC预测，2026年中国番茄加工总量592万吨，较2025年增长21%、较2024年下降43%，需警惕盲目扩产导致库存回升、压制价格修复。2026产季中国番茄酱出口大概率持平，终端及下游采购谨慎，新兴市场增量慢，行业核心是稳定出口、优化结构，避免低价竞争。当前行业需求结构深刻调整，传统出口疲软而国内消费崛起。随着地方扶持政策落地，行业迎来转型窗口期，将向产品多元化、国内外双轮驱动转型，深加工及高端化成为竞争焦点。综合来看，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全球控产利于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中长期供需修复，但短期高库存制约价格；国内供应整体平衡，销量以稳为主，需持续去库存。在此背景下，公司将积极抓住政策机遇，构建国内国际协同发展的新格局，加快结构转型，优化产品与市场布局，坚持提质增效、品牌升级，聚焦健康、营养、便捷的产品核心需求，深耕新品研发以匹配多元化消费需求，在周期调整中夯实竞争优势，实现可持续健康发展。感谢您的关注与支持！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cr/>
            </w:r>
          </w:p>
          <w:p w14:paraId="202417C9" w14:textId="48D4D14E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6</w:t>
            </w:r>
            <w:r w:rsidRPr="00BE3DE7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2025年利润增长主要得益于棉花业务扭亏、存货跌价准备计提减少。请问：① 棉花及棉籽深加工业务的盈利改善是否具有周期性？未来若原材料价格波动，公司如何保障利润稳定性？② 2026年Q1净利润同比增57.31%，是否延续2025年的核心驱动因素？是否存在季节性波动风险？③ 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扣非净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利润增速（56.8%）低于净利润增速，非经常性损益（政府补助等）占比是否过高？未来盈利增长的核心抓手是什么？</w:t>
            </w:r>
          </w:p>
          <w:p w14:paraId="2015352B" w14:textId="0F5E4F79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尊敬的投资者，您好。① 棉花及棉籽深加工行业具有周期性，因此其经营情况具有周期性。未来若原材料价格波动，公司将通过强化原料供应链韧性与工艺升级，研发差异化产品，提升产品溢价能力与市场竞争力，合理运用套期保值工具对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冲价格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波动风险，加强销售团队专业化建设与渠道优化，提升市场份额与客户粘性，多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措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并举降低原材料价格波动风险及经营风险，保障利润稳定性。② 2026年Q1净利润同比增57.31%，主要系来自于参股公司国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投罗钾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的投资收益较上年同期大幅增加所致。公司产业所需原料均为农产品，因此存在季节性波动风险。③ 公司行业为农副食品加工业，且地处新疆，该行业获得的支持力度较大，非经常性损益（政府补助等）占公司净利润的比例为2.6%，占比不存在过高情形，未来公司将通过持续加大研发投入、优化产品结构、拓展国内外市场、全产业链降本提质等举措努力提升业绩。 感谢您的关注与支持！</w:t>
            </w:r>
          </w:p>
          <w:p w14:paraId="6783F9F8" w14:textId="1BE6F07A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7</w:t>
            </w:r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. 年报显示番茄制品出口承压、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疆外市场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萎缩、研发投入缩减。请问：① 独立董事如何看待公司未来3-5年的核心风险点？是否有应对预案？② 审计委员会在审阅年报时，是否发现需特别关注的会计处理或资产减值风险？③ 针对棉花业务的周期性特征，公司是否建立价格对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冲机制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sz w:val="24"/>
                <w:szCs w:val="24"/>
              </w:rPr>
              <w:t>或库存管理预警系统？</w:t>
            </w:r>
            <w:r w:rsidRPr="00E13500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</w:p>
          <w:p w14:paraId="073976E3" w14:textId="48E184B9" w:rsidR="00E13500" w:rsidRP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BE3DE7">
              <w:rPr>
                <w:rFonts w:ascii="宋体" w:eastAsia="宋体" w:hAnsi="宋体" w:cs="宋体"/>
                <w:sz w:val="24"/>
                <w:szCs w:val="24"/>
              </w:rPr>
              <w:t>答:</w:t>
            </w:r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尊敬的投资者，您好！①结合当前番茄制品出口承压、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疆外市场</w:t>
            </w:r>
            <w:proofErr w:type="gramEnd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收缩、研发投入下降等情况，独立董事已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研</w:t>
            </w:r>
            <w:proofErr w:type="gramEnd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判，未来三至五年公司主要面临国际贸易、行业周期、市场需求、原料成本、汇率波动等核</w:t>
            </w:r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心风险。公司已制定常态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化风控措施</w:t>
            </w:r>
            <w:proofErr w:type="gramEnd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，独立董事将持续监督落实，并督促公司动态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优化风控措施</w:t>
            </w:r>
            <w:proofErr w:type="gramEnd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稳健抵御经营压力。②审计委员会已对年报开展全面审慎审阅，重点核查存货、应收账款、固定资产等资产减值及收入确认等关键会计处理事项，未发现重大异常与会计差错，各项减值计提充分合理、会计核算规范审慎，无需要重点关注的特殊风险。③针对棉花业务周期性波动特点，公司已建立棉价对冲机制，合</w:t>
            </w:r>
            <w:proofErr w:type="gramStart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运用套期保值工具管理价格波动风险；对于库存管理，公司灵活调节购销节奏，合理控制采购成本，防范库存积压、跌价及供需错配风险。感谢您的关注与支持！</w:t>
            </w:r>
          </w:p>
          <w:p w14:paraId="5CE126A5" w14:textId="77777777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8.注意到公司的董事会秘书是由财务总监兼任的，关注到证监会新发布的《上市公司董事会秘书监管规则》中有部分关于董事会秘书独立性的要求，请问董事长：公司后续会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就人员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任职的合</w:t>
            </w:r>
            <w:proofErr w:type="gramStart"/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性做出相应人事调整吗？</w:t>
            </w:r>
          </w:p>
          <w:p w14:paraId="50FF1EA2" w14:textId="77777777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尊敬的投资者，您好。公司已关注到证监会《上市公司董事会秘书监管规则》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关于董秘独立性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及兼职限制的相关要求，规则自2026年5月24日起施行，并设置过渡期至2027年12月31日。目前财务总监兼任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董秘符合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现行监管规定。公司高度重视治理合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，将结合过渡期要求、人才储备及经营实际，统筹谋划人事安排，按期完成合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调整，保障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董秘独立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履职，持续优化公司治理架构。感谢您的关注与支持！</w:t>
            </w:r>
          </w:p>
          <w:p w14:paraId="2B09F0FF" w14:textId="77777777" w:rsid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E1350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9.</w:t>
            </w:r>
            <w:r w:rsidRPr="00E1350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作为投资者，建议细化分区域（疆内/疆外）、分季度（尤其Q4净利润仅143万元）的财务数据披露。请问：① </w:t>
            </w:r>
            <w:proofErr w:type="gramStart"/>
            <w:r w:rsidRPr="00E1350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未来财报是否</w:t>
            </w:r>
            <w:proofErr w:type="gramEnd"/>
            <w:r w:rsidRPr="00E1350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会增强业务拆分颗粒度？② 2026年Q1经营现金流净额降61.8%，是否与季节性采购或项目付款有关？全年现金</w:t>
            </w:r>
            <w:proofErr w:type="gramStart"/>
            <w:r w:rsidRPr="00E1350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流改善</w:t>
            </w:r>
            <w:proofErr w:type="gramEnd"/>
            <w:r w:rsidRPr="00E13500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措施有哪些？③ 公司是否建立业绩预告修正机制？如何避免市场对利润波动的误读？</w:t>
            </w:r>
          </w:p>
          <w:p w14:paraId="0AA253B3" w14:textId="4591A178" w:rsidR="00E13500" w:rsidRPr="00E13500" w:rsidRDefault="00E13500" w:rsidP="00E13500">
            <w:pPr>
              <w:pStyle w:val="TableParagraph"/>
              <w:adjustRightInd w:val="0"/>
              <w:snapToGrid w:val="0"/>
              <w:spacing w:afterLines="50" w:after="120"/>
              <w:ind w:firstLine="488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尊敬的投资者，您好！①公司严格遵照监管规则及交易所信息披露要求编制定期报告，目前已在年度报告中披露主营业务分行业、分产品、分区域及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分销售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模式等细分经营数据，持续提升信息披露透明度。②2026年第一季度公司经营活动产生的现金流量净额减少67.88%，主要系本期购买棉籽等原料支付的现金增加所致。后续公司将多</w:t>
            </w:r>
            <w:proofErr w:type="gramStart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措</w:t>
            </w:r>
            <w:proofErr w:type="gramEnd"/>
            <w:r w:rsidRPr="00E13500">
              <w:rPr>
                <w:rFonts w:ascii="宋体" w:eastAsia="宋体" w:hAnsi="宋体" w:cs="宋体" w:hint="eastAsia"/>
                <w:sz w:val="24"/>
                <w:szCs w:val="24"/>
              </w:rPr>
              <w:t>并举改善全年现金流，重点强化销售回款及应收账款回笼管理、盘活低效无效资产、严控非生产性开支、优化付款节奏，加强资金管理等。③公司已建立业绩预告修正机制，严格依规履行信息披露义务，若出现业绩重大变动情形，将及时履行修正披露程序。同时，通过多渠道加强投资者沟通，客观充分沟通业绩波动影响因素，减少市场误解，维护投资者权益。感谢您的关注与支持！</w:t>
            </w:r>
          </w:p>
        </w:tc>
      </w:tr>
      <w:tr w:rsidR="00E13500" w:rsidRPr="003D019F" w14:paraId="44ADB9AA" w14:textId="77777777" w:rsidTr="002829A7">
        <w:trPr>
          <w:trHeight w:val="558"/>
          <w:jc w:val="center"/>
        </w:trPr>
        <w:tc>
          <w:tcPr>
            <w:tcW w:w="1413" w:type="dxa"/>
            <w:vAlign w:val="center"/>
          </w:tcPr>
          <w:p w14:paraId="1EB914E0" w14:textId="77777777" w:rsidR="00E13500" w:rsidRPr="003D019F" w:rsidRDefault="00E13500" w:rsidP="00E13500">
            <w:pPr>
              <w:pStyle w:val="TableParagraph"/>
              <w:adjustRightInd w:val="0"/>
              <w:snapToGrid w:val="0"/>
              <w:spacing w:before="1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7229" w:type="dxa"/>
            <w:vAlign w:val="center"/>
          </w:tcPr>
          <w:p w14:paraId="66ACBADD" w14:textId="51C6BBED" w:rsidR="00E13500" w:rsidRPr="003D019F" w:rsidRDefault="00E13500" w:rsidP="00E13500">
            <w:pPr>
              <w:pStyle w:val="TableParagraph"/>
              <w:adjustRightInd w:val="0"/>
              <w:snapToGrid w:val="0"/>
              <w:spacing w:before="100" w:beforeAutospacing="1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202</w:t>
            </w:r>
            <w:r w:rsidR="005A28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 w:rsidR="005A28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04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 w:rsidR="005A28FE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</w:t>
            </w:r>
            <w:r w:rsidRPr="003D019F">
              <w:rPr>
                <w:rFonts w:asciiTheme="minorEastAsia" w:eastAsiaTheme="minorEastAsia" w:hAnsiTheme="minorEastAsia" w:cs="宋体"/>
                <w:sz w:val="24"/>
                <w:szCs w:val="24"/>
              </w:rPr>
              <w:t>日</w:t>
            </w:r>
          </w:p>
        </w:tc>
      </w:tr>
    </w:tbl>
    <w:p w14:paraId="4BC2BE7A" w14:textId="77777777" w:rsidR="003054C7" w:rsidRDefault="003054C7">
      <w:pPr>
        <w:rPr>
          <w:rFonts w:ascii="宋体" w:eastAsia="宋体" w:hAnsi="宋体" w:cs="宋体" w:hint="eastAsia"/>
          <w:sz w:val="28"/>
          <w:szCs w:val="36"/>
        </w:rPr>
      </w:pPr>
    </w:p>
    <w:sectPr w:rsidR="003054C7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25FB" w14:textId="77777777" w:rsidR="00B1045A" w:rsidRDefault="00B1045A" w:rsidP="00E71C99">
      <w:pPr>
        <w:rPr>
          <w:rFonts w:hint="eastAsia"/>
        </w:rPr>
      </w:pPr>
      <w:r>
        <w:separator/>
      </w:r>
    </w:p>
  </w:endnote>
  <w:endnote w:type="continuationSeparator" w:id="0">
    <w:p w14:paraId="56BA4643" w14:textId="77777777" w:rsidR="00B1045A" w:rsidRDefault="00B1045A" w:rsidP="00E71C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0141" w14:textId="77777777" w:rsidR="00B1045A" w:rsidRDefault="00B1045A" w:rsidP="00E71C99">
      <w:pPr>
        <w:rPr>
          <w:rFonts w:hint="eastAsia"/>
        </w:rPr>
      </w:pPr>
      <w:r>
        <w:separator/>
      </w:r>
    </w:p>
  </w:footnote>
  <w:footnote w:type="continuationSeparator" w:id="0">
    <w:p w14:paraId="7676E84F" w14:textId="77777777" w:rsidR="00B1045A" w:rsidRDefault="00B1045A" w:rsidP="00E71C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90CB4"/>
    <w:rsid w:val="000B1526"/>
    <w:rsid w:val="000B7C08"/>
    <w:rsid w:val="000C4C68"/>
    <w:rsid w:val="000D12CF"/>
    <w:rsid w:val="000D2D88"/>
    <w:rsid w:val="000E4B20"/>
    <w:rsid w:val="0011418F"/>
    <w:rsid w:val="00115092"/>
    <w:rsid w:val="00172C24"/>
    <w:rsid w:val="001A40F4"/>
    <w:rsid w:val="001E59D1"/>
    <w:rsid w:val="001E5EA4"/>
    <w:rsid w:val="001F0FFD"/>
    <w:rsid w:val="002042A7"/>
    <w:rsid w:val="00205911"/>
    <w:rsid w:val="002143AB"/>
    <w:rsid w:val="002146AD"/>
    <w:rsid w:val="00275CB6"/>
    <w:rsid w:val="002800B5"/>
    <w:rsid w:val="002829A7"/>
    <w:rsid w:val="00292FF8"/>
    <w:rsid w:val="00295B29"/>
    <w:rsid w:val="002A761F"/>
    <w:rsid w:val="002D0922"/>
    <w:rsid w:val="002D4073"/>
    <w:rsid w:val="002E7098"/>
    <w:rsid w:val="00301D32"/>
    <w:rsid w:val="003054C7"/>
    <w:rsid w:val="0034147D"/>
    <w:rsid w:val="00366FAD"/>
    <w:rsid w:val="0037105B"/>
    <w:rsid w:val="003975BA"/>
    <w:rsid w:val="003A74E6"/>
    <w:rsid w:val="003B42A7"/>
    <w:rsid w:val="003B73DD"/>
    <w:rsid w:val="003D011C"/>
    <w:rsid w:val="003D019F"/>
    <w:rsid w:val="004108C7"/>
    <w:rsid w:val="00412DC2"/>
    <w:rsid w:val="00437FC7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E68A3"/>
    <w:rsid w:val="004F6FF3"/>
    <w:rsid w:val="005258EF"/>
    <w:rsid w:val="005409CB"/>
    <w:rsid w:val="00571B49"/>
    <w:rsid w:val="005743AE"/>
    <w:rsid w:val="0058788A"/>
    <w:rsid w:val="005A28FE"/>
    <w:rsid w:val="005C431F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6971"/>
    <w:rsid w:val="0068718A"/>
    <w:rsid w:val="00690EDA"/>
    <w:rsid w:val="006A2739"/>
    <w:rsid w:val="006B5C95"/>
    <w:rsid w:val="006E14B0"/>
    <w:rsid w:val="006E3247"/>
    <w:rsid w:val="006F0108"/>
    <w:rsid w:val="006F5F91"/>
    <w:rsid w:val="00704AE6"/>
    <w:rsid w:val="007153A2"/>
    <w:rsid w:val="007164B1"/>
    <w:rsid w:val="00724A68"/>
    <w:rsid w:val="00726699"/>
    <w:rsid w:val="007271BF"/>
    <w:rsid w:val="00730DD3"/>
    <w:rsid w:val="00733224"/>
    <w:rsid w:val="00764128"/>
    <w:rsid w:val="007824B8"/>
    <w:rsid w:val="007910DD"/>
    <w:rsid w:val="00792D9A"/>
    <w:rsid w:val="007A125F"/>
    <w:rsid w:val="007A3EC1"/>
    <w:rsid w:val="007B3368"/>
    <w:rsid w:val="007D0A69"/>
    <w:rsid w:val="007D6DC4"/>
    <w:rsid w:val="008029A0"/>
    <w:rsid w:val="00833F64"/>
    <w:rsid w:val="00853463"/>
    <w:rsid w:val="00893F25"/>
    <w:rsid w:val="00895035"/>
    <w:rsid w:val="008963E8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3B24"/>
    <w:rsid w:val="009C2E31"/>
    <w:rsid w:val="009E1955"/>
    <w:rsid w:val="00A161A8"/>
    <w:rsid w:val="00A17818"/>
    <w:rsid w:val="00A436E9"/>
    <w:rsid w:val="00A527AA"/>
    <w:rsid w:val="00A5684D"/>
    <w:rsid w:val="00A75C61"/>
    <w:rsid w:val="00A9601B"/>
    <w:rsid w:val="00AD100E"/>
    <w:rsid w:val="00AE1E36"/>
    <w:rsid w:val="00AF74AA"/>
    <w:rsid w:val="00B03C2F"/>
    <w:rsid w:val="00B1045A"/>
    <w:rsid w:val="00B15064"/>
    <w:rsid w:val="00B340A3"/>
    <w:rsid w:val="00B410F5"/>
    <w:rsid w:val="00B6280C"/>
    <w:rsid w:val="00B671A4"/>
    <w:rsid w:val="00B72CD4"/>
    <w:rsid w:val="00B85B00"/>
    <w:rsid w:val="00BE2ADA"/>
    <w:rsid w:val="00BF132F"/>
    <w:rsid w:val="00C13878"/>
    <w:rsid w:val="00CA14E2"/>
    <w:rsid w:val="00CA1705"/>
    <w:rsid w:val="00CC1C8D"/>
    <w:rsid w:val="00CC55A3"/>
    <w:rsid w:val="00CE1A54"/>
    <w:rsid w:val="00CF5FB6"/>
    <w:rsid w:val="00D02518"/>
    <w:rsid w:val="00D17454"/>
    <w:rsid w:val="00D33FBC"/>
    <w:rsid w:val="00D6084C"/>
    <w:rsid w:val="00D7535C"/>
    <w:rsid w:val="00D76302"/>
    <w:rsid w:val="00D87092"/>
    <w:rsid w:val="00DA5CE2"/>
    <w:rsid w:val="00DE10E8"/>
    <w:rsid w:val="00DE3DAB"/>
    <w:rsid w:val="00DE4E03"/>
    <w:rsid w:val="00E13500"/>
    <w:rsid w:val="00E16FDA"/>
    <w:rsid w:val="00E35F58"/>
    <w:rsid w:val="00E45BD9"/>
    <w:rsid w:val="00E66FFC"/>
    <w:rsid w:val="00E71C99"/>
    <w:rsid w:val="00E74CB9"/>
    <w:rsid w:val="00E759D6"/>
    <w:rsid w:val="00E84A8C"/>
    <w:rsid w:val="00E90B17"/>
    <w:rsid w:val="00E976DE"/>
    <w:rsid w:val="00EB326F"/>
    <w:rsid w:val="00EC08B1"/>
    <w:rsid w:val="00EC0F83"/>
    <w:rsid w:val="00EE3187"/>
    <w:rsid w:val="00EF499B"/>
    <w:rsid w:val="00F0082B"/>
    <w:rsid w:val="00F14977"/>
    <w:rsid w:val="00FB4A08"/>
    <w:rsid w:val="00FC0C2A"/>
    <w:rsid w:val="00FD7F8E"/>
    <w:rsid w:val="00FE2F68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4ED42403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FD45"/>
  <w15:docId w15:val="{1D4E8BDD-F8DC-4583-A771-EFBB012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qFormat/>
    <w:rsid w:val="00E135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1691</Words>
  <Characters>2825</Characters>
  <Application>Microsoft Office Word</Application>
  <DocSecurity>0</DocSecurity>
  <Lines>353</Lines>
  <Paragraphs>347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jinjianxia0108@outlook.com</cp:lastModifiedBy>
  <cp:revision>35</cp:revision>
  <dcterms:created xsi:type="dcterms:W3CDTF">2022-04-12T06:10:00Z</dcterms:created>
  <dcterms:modified xsi:type="dcterms:W3CDTF">2026-04-29T08:12:00Z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57D148DF2F764966BF4E1C38A6255FA2</vt:lpwstr>
  </property>
</Properties>
</file>