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58FF" w14:textId="77777777" w:rsidR="00A071AF" w:rsidRDefault="00000000">
      <w:pPr>
        <w:spacing w:line="288" w:lineRule="auto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证券代码：6</w:t>
      </w:r>
      <w:r>
        <w:rPr>
          <w:rFonts w:ascii="宋体" w:eastAsia="宋体" w:hAnsi="宋体"/>
          <w:szCs w:val="21"/>
        </w:rPr>
        <w:t>03920</w:t>
      </w:r>
      <w:r>
        <w:rPr>
          <w:rFonts w:ascii="宋体" w:eastAsia="宋体" w:hAnsi="宋体" w:hint="eastAsia"/>
          <w:szCs w:val="21"/>
        </w:rPr>
        <w:t xml:space="preserve">                                             证券简称：世运电路</w:t>
      </w:r>
    </w:p>
    <w:p w14:paraId="4D8DE9E8" w14:textId="77777777" w:rsidR="00A071AF" w:rsidRDefault="00000000">
      <w:pPr>
        <w:spacing w:line="288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广东世运电路科技股份有限公司</w:t>
      </w:r>
    </w:p>
    <w:p w14:paraId="585336C2" w14:textId="77777777" w:rsidR="00A071AF" w:rsidRDefault="00000000">
      <w:pPr>
        <w:spacing w:line="288" w:lineRule="auto"/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投资者关系活动记录表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7167"/>
      </w:tblGrid>
      <w:tr w:rsidR="00A071AF" w14:paraId="5204C41F" w14:textId="77777777">
        <w:tc>
          <w:tcPr>
            <w:tcW w:w="1129" w:type="dxa"/>
          </w:tcPr>
          <w:p w14:paraId="0B688347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投资者关系活动类别</w:t>
            </w:r>
          </w:p>
        </w:tc>
        <w:tc>
          <w:tcPr>
            <w:tcW w:w="7167" w:type="dxa"/>
          </w:tcPr>
          <w:p w14:paraId="4380E341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□特定对象调研 □分析师会议□媒体采访 </w:t>
            </w:r>
            <w:r>
              <w:rPr>
                <w:rFonts w:ascii="宋体" w:eastAsia="宋体" w:hAnsi="宋体" w:hint="eastAsia"/>
                <w:szCs w:val="21"/>
              </w:rPr>
              <w:sym w:font="Wingdings 2" w:char="F052"/>
            </w:r>
            <w:r>
              <w:rPr>
                <w:rFonts w:ascii="宋体" w:eastAsia="宋体" w:hAnsi="宋体" w:hint="eastAsia"/>
                <w:szCs w:val="21"/>
              </w:rPr>
              <w:t>业绩说明会</w:t>
            </w:r>
          </w:p>
          <w:p w14:paraId="429B11C0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  <w:u w:val="single"/>
              </w:rPr>
            </w:pPr>
            <w:r>
              <w:rPr>
                <w:rFonts w:ascii="宋体" w:eastAsia="宋体" w:hAnsi="宋体" w:hint="eastAsia"/>
                <w:szCs w:val="21"/>
              </w:rPr>
              <w:t>□新闻发布会 □路演活动 □现场参观 □其他</w:t>
            </w:r>
          </w:p>
        </w:tc>
      </w:tr>
      <w:tr w:rsidR="00A071AF" w14:paraId="6FE0CBA2" w14:textId="77777777">
        <w:tc>
          <w:tcPr>
            <w:tcW w:w="1129" w:type="dxa"/>
          </w:tcPr>
          <w:p w14:paraId="1BE4BD25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参与单位名称与人数</w:t>
            </w:r>
          </w:p>
        </w:tc>
        <w:tc>
          <w:tcPr>
            <w:tcW w:w="7167" w:type="dxa"/>
          </w:tcPr>
          <w:p w14:paraId="3138ECCA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富安达基金、国泰投信、嘉实基金、摩根士丹利基金、鹏扬基金、太平基金、天弘基金、长盛基金、UBS、东证融汇资管、国盛证券、国信证券、国元证券、华升投资、华西银峰投资、南京证券、平安证券、申万宏源、太平洋证券、西部证券、兴业证券、银河证券、中泰证券、中信建投、中信证券、巴富罗（海南）私募、灯湖高新私募、非马投资、高毅资产、高竹基金、歌汝私募、格雷资产、耕霁资产、海晟私募、瀚亚投资、浩成资产管理、鹤欧投资、恒昇基金、惠正投资、火神投资、火眼资本、吉翱私募基金、健顺投资、玖歌投资、玖鹏资产、君牛基金、君牛私募、珞瑜私募、民沣证券、普行资产、乾瞻资产、勤律资产、天惠投资、天季私募、途灵资管、闻天投资、禧悦投资、赢舟资管、优美利投资管理、长白山私募、正谊资本、正圆私募、中厚资本、</w:t>
            </w:r>
            <w:proofErr w:type="spellStart"/>
            <w:r>
              <w:rPr>
                <w:rFonts w:ascii="宋体" w:eastAsia="宋体" w:hAnsi="宋体" w:hint="eastAsia"/>
                <w:szCs w:val="21"/>
              </w:rPr>
              <w:t>Eastspring</w:t>
            </w:r>
            <w:proofErr w:type="spellEnd"/>
            <w:r>
              <w:rPr>
                <w:rFonts w:ascii="宋体" w:eastAsia="宋体" w:hAnsi="宋体" w:hint="eastAsia"/>
                <w:szCs w:val="21"/>
              </w:rPr>
              <w:t xml:space="preserve"> Investments、东坤资产、二进制资管、华夏久盈资管、人保资产、太平资产、长城财富、中银资管、湖北金服、汇正财顾、金证、陆家嘴信托、兴银理财、长江养老、中科院、</w:t>
            </w:r>
            <w:r>
              <w:rPr>
                <w:rFonts w:ascii="宋体" w:eastAsia="宋体" w:hAnsi="宋体"/>
                <w:szCs w:val="21"/>
              </w:rPr>
              <w:t>汇添富基金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长城基金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中航基金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和谐健康保险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爱建证券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财通证券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东北证券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华福证券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山西证券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天风证券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百年保险资管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和谐健康保险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/>
                <w:szCs w:val="21"/>
              </w:rPr>
              <w:t>建信理财</w:t>
            </w:r>
            <w:r>
              <w:rPr>
                <w:rFonts w:ascii="宋体" w:eastAsia="宋体" w:hAnsi="宋体" w:hint="eastAsia"/>
                <w:szCs w:val="21"/>
              </w:rPr>
              <w:t>等90家机构</w:t>
            </w:r>
          </w:p>
        </w:tc>
      </w:tr>
      <w:tr w:rsidR="00A071AF" w14:paraId="5ED5A147" w14:textId="77777777">
        <w:tc>
          <w:tcPr>
            <w:tcW w:w="1129" w:type="dxa"/>
          </w:tcPr>
          <w:p w14:paraId="1DF10648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7167" w:type="dxa"/>
          </w:tcPr>
          <w:p w14:paraId="428AB885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2026年4月23日 15:30</w:t>
            </w:r>
            <w:r>
              <w:rPr>
                <w:rFonts w:ascii="宋体" w:eastAsia="宋体" w:hAnsi="宋体"/>
                <w:szCs w:val="21"/>
              </w:rPr>
              <w:t>—16</w:t>
            </w:r>
            <w:r>
              <w:rPr>
                <w:rFonts w:ascii="宋体" w:eastAsia="宋体" w:hAnsi="宋体" w:hint="eastAsia"/>
                <w:szCs w:val="21"/>
              </w:rPr>
              <w:t>:30</w:t>
            </w:r>
          </w:p>
        </w:tc>
      </w:tr>
      <w:tr w:rsidR="00A071AF" w14:paraId="27E94F6D" w14:textId="77777777">
        <w:tc>
          <w:tcPr>
            <w:tcW w:w="1129" w:type="dxa"/>
          </w:tcPr>
          <w:p w14:paraId="44990E43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地点</w:t>
            </w:r>
          </w:p>
        </w:tc>
        <w:tc>
          <w:tcPr>
            <w:tcW w:w="7167" w:type="dxa"/>
          </w:tcPr>
          <w:p w14:paraId="3EC508A4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腾讯会议</w:t>
            </w:r>
          </w:p>
        </w:tc>
      </w:tr>
      <w:tr w:rsidR="00A071AF" w14:paraId="551E437D" w14:textId="77777777">
        <w:tc>
          <w:tcPr>
            <w:tcW w:w="1129" w:type="dxa"/>
          </w:tcPr>
          <w:p w14:paraId="3C98C5E4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上市公司接待人员姓名</w:t>
            </w:r>
          </w:p>
        </w:tc>
        <w:tc>
          <w:tcPr>
            <w:tcW w:w="7167" w:type="dxa"/>
          </w:tcPr>
          <w:p w14:paraId="4BEC85A2" w14:textId="77777777" w:rsidR="00A071AF" w:rsidRDefault="000000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创始人、总经理：佘英杰先生</w:t>
            </w:r>
          </w:p>
          <w:p w14:paraId="4BCF6E78" w14:textId="77777777" w:rsidR="00A071AF" w:rsidRDefault="000000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董事、副总经理：王鹏先生</w:t>
            </w:r>
          </w:p>
          <w:p w14:paraId="6FCDCA88" w14:textId="77777777" w:rsidR="00A071AF" w:rsidRDefault="000000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董事、财务总监：蒋毅先生</w:t>
            </w:r>
          </w:p>
          <w:p w14:paraId="44DFB48C" w14:textId="77777777" w:rsidR="00A071AF" w:rsidRDefault="0000000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董事会秘书：尹嘉亮先生</w:t>
            </w:r>
          </w:p>
        </w:tc>
      </w:tr>
      <w:tr w:rsidR="00A071AF" w14:paraId="1D931209" w14:textId="77777777">
        <w:tc>
          <w:tcPr>
            <w:tcW w:w="1129" w:type="dxa"/>
            <w:vAlign w:val="center"/>
          </w:tcPr>
          <w:p w14:paraId="050FEA15" w14:textId="77777777" w:rsidR="00A071AF" w:rsidRDefault="00000000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投资者关系活动主要内容介绍</w:t>
            </w:r>
          </w:p>
        </w:tc>
        <w:tc>
          <w:tcPr>
            <w:tcW w:w="7167" w:type="dxa"/>
          </w:tcPr>
          <w:p w14:paraId="4E93C8AC" w14:textId="77777777" w:rsidR="00A071AF" w:rsidRDefault="00000000">
            <w:pPr>
              <w:spacing w:beforeLines="30" w:before="93" w:line="360" w:lineRule="auto"/>
              <w:ind w:firstLineChars="195" w:firstLine="411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（一）公司对经营情况进行介绍</w:t>
            </w:r>
          </w:p>
          <w:p w14:paraId="16864C4C" w14:textId="77777777" w:rsidR="00A071AF" w:rsidRDefault="00000000">
            <w:pPr>
              <w:widowControl/>
              <w:spacing w:beforeLines="30" w:before="93" w:line="360" w:lineRule="auto"/>
              <w:ind w:firstLineChars="208" w:firstLine="439"/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1.上半年经营业绩情况</w:t>
            </w:r>
          </w:p>
          <w:p w14:paraId="3929C2F8" w14:textId="77777777" w:rsidR="00A071AF" w:rsidRDefault="00000000">
            <w:pPr>
              <w:widowControl/>
              <w:spacing w:beforeLines="30" w:before="93" w:line="360" w:lineRule="auto"/>
              <w:ind w:firstLineChars="208" w:firstLine="43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2025年，公司总营收达55.77亿元，同比增长11.05%；归属母公司净利润为6.84亿元，同比增长1.37%，创历史新高；经营性现金流净额达9.2亿元；毛利率21.14%，净利率12.26%，受原材料与汇率短期扰动小幅下滑，仍</w:t>
            </w:r>
            <w:r>
              <w:rPr>
                <w:rFonts w:ascii="宋体" w:eastAsia="宋体" w:hAnsi="宋体" w:cs="宋体" w:hint="eastAsia"/>
                <w:szCs w:val="21"/>
              </w:rPr>
              <w:lastRenderedPageBreak/>
              <w:t>处于历史较高水平。2025年四季度净利润同比下滑，主要受原材料涨价、人民币兑美元升值汇兑影响、投资收益回撤及年度减值综合影响。</w:t>
            </w:r>
          </w:p>
          <w:p w14:paraId="12298940" w14:textId="77777777" w:rsidR="00A071AF" w:rsidRDefault="00000000">
            <w:pPr>
              <w:widowControl/>
              <w:spacing w:beforeLines="30" w:before="93" w:line="360" w:lineRule="auto"/>
              <w:ind w:firstLineChars="208" w:firstLine="437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市场拓展方面，2025年公司通过OEM方式进入英伟达、AMD、Google供应服务器高速连接器；车载业务通过多家国际Tier1认证；国内与头部主机厂及科技企业深度协同。新兴领域布局方面，在人形机器人、AI电源等产品领域推进项目定点和转量产准备。</w:t>
            </w:r>
          </w:p>
          <w:p w14:paraId="5E8317F7" w14:textId="77777777" w:rsidR="00A071AF" w:rsidRDefault="00000000">
            <w:pPr>
              <w:widowControl/>
              <w:spacing w:beforeLines="30" w:before="93" w:line="360" w:lineRule="auto"/>
              <w:ind w:firstLineChars="200" w:firstLine="422"/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2.</w:t>
            </w:r>
            <w:bookmarkStart w:id="0" w:name="OLE_LINK1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嵌入式PCB封装技术</w:t>
            </w:r>
            <w:bookmarkEnd w:id="0"/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工艺原理及性能</w:t>
            </w:r>
          </w:p>
          <w:p w14:paraId="663B5604" w14:textId="77777777" w:rsidR="00A071AF" w:rsidRDefault="00000000">
            <w:pPr>
              <w:widowControl/>
              <w:spacing w:beforeLines="30" w:before="93" w:line="360" w:lineRule="auto"/>
              <w:ind w:firstLineChars="216" w:firstLine="454"/>
              <w:jc w:val="left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埋嵌工艺，将功率芯片直接嵌入PCB板内部，彻底打破了PCB、半导体与封装三大领域的传统物理边界与技术壁垒，推动跨领域的深度融合与协同创新。推动PCB产业实现战略转型，从传统单一的“电路承载层”，全面向更高维度、更高价值的系统集成与封装一体化方向演进，定义行业的新未来。与传统的功率模块进行对比，在结构集成度、散热路径和电气连接三个关键维度上，埋嵌式PCB方案都展现了核心优势。它实现了更高的集成度、更短的散热路径和更低的寄生参数，从而在根本上提升了终端产品的性能表现。</w:t>
            </w:r>
          </w:p>
          <w:p w14:paraId="0D5FB7E4" w14:textId="77777777" w:rsidR="00A071AF" w:rsidRDefault="00000000">
            <w:pPr>
              <w:widowControl/>
              <w:spacing w:beforeLines="30" w:before="93" w:line="360" w:lineRule="auto"/>
              <w:ind w:firstLineChars="191" w:firstLine="403"/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3.产能布局与新基地规划</w:t>
            </w:r>
          </w:p>
          <w:p w14:paraId="2C1E508A" w14:textId="77777777" w:rsidR="00A071AF" w:rsidRDefault="00000000">
            <w:pPr>
              <w:widowControl/>
              <w:spacing w:beforeLines="30" w:before="93" w:line="360" w:lineRule="auto"/>
              <w:ind w:firstLineChars="191" w:firstLine="401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现有硬板产能集中于江门鹤山总部，新建产能规划分布于泰国及江门两地。泰国先进制程产业园，2026年Q1进入试生产，后续将加快泰国产能的爬坡速度。国内“芯创智载”项目，项目正处于主体工程建设阶段，目前已在现有厂区建成芯片内嵌式PCB中试线，以满足客户小批量需求，持续验证产品可靠性。公司于2025年建设年产300万平方米线路板项目（二期），预计在2026年中逐步投产，将为公司提供稳定的产能增长。</w:t>
            </w:r>
          </w:p>
          <w:p w14:paraId="22048624" w14:textId="77777777" w:rsidR="00A071AF" w:rsidRDefault="00000000">
            <w:pPr>
              <w:widowControl/>
              <w:spacing w:beforeLines="30" w:before="93" w:line="360" w:lineRule="auto"/>
              <w:ind w:firstLineChars="202" w:firstLine="426"/>
              <w:jc w:val="left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.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未来发展目标与规划</w:t>
            </w:r>
          </w:p>
          <w:p w14:paraId="229ADBE9" w14:textId="77777777" w:rsidR="00A071AF" w:rsidRDefault="00000000">
            <w:pPr>
              <w:widowControl/>
              <w:spacing w:beforeLines="30" w:before="93" w:line="360" w:lineRule="auto"/>
              <w:ind w:firstLineChars="202" w:firstLine="424"/>
              <w:jc w:val="left"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公司未来将聚焦埋嵌式PCB封装技术，加速推进泰国及国内“芯创智载”等高端产能项目的建设与释放，加快构建全球化产能布局。同时将继续深化与全球头部科技巨头的战略合作伙伴关系，构建产业生态互通共融。</w:t>
            </w:r>
          </w:p>
          <w:p w14:paraId="29F34267" w14:textId="77777777" w:rsidR="00A071AF" w:rsidRDefault="00000000">
            <w:pPr>
              <w:spacing w:beforeLines="30" w:before="93" w:line="360" w:lineRule="auto"/>
              <w:ind w:firstLineChars="195" w:firstLine="411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（二）投资者问答</w:t>
            </w:r>
          </w:p>
          <w:p w14:paraId="74472B34" w14:textId="77777777" w:rsidR="00A071AF" w:rsidRDefault="00000000">
            <w:pPr>
              <w:pStyle w:val="af"/>
              <w:spacing w:beforeLines="50" w:before="156" w:line="360" w:lineRule="auto"/>
              <w:ind w:firstLineChars="0" w:firstLine="0"/>
              <w:contextualSpacing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Q1、</w:t>
            </w:r>
            <w:r>
              <w:rPr>
                <w:rFonts w:ascii="宋体" w:eastAsia="宋体" w:hAnsi="宋体"/>
                <w:b/>
                <w:bCs/>
                <w:szCs w:val="21"/>
              </w:rPr>
              <w:t>近期原材料（覆铜板等）涨价较快，公司是否与下游客户商谈涨价？客户接受度及利润率展望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如何</w:t>
            </w:r>
            <w:r>
              <w:rPr>
                <w:rFonts w:ascii="宋体" w:eastAsia="宋体" w:hAnsi="宋体"/>
                <w:b/>
                <w:bCs/>
                <w:szCs w:val="21"/>
              </w:rPr>
              <w:t>？提价覆盖存量料号还是仅新料号？是否完全转嫁成本？</w:t>
            </w:r>
          </w:p>
          <w:p w14:paraId="69515629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原材料涨价初期</w:t>
            </w:r>
            <w:r>
              <w:rPr>
                <w:rFonts w:ascii="宋体" w:eastAsia="宋体" w:hAnsi="宋体" w:hint="eastAsia"/>
                <w:szCs w:val="21"/>
              </w:rPr>
              <w:t>已</w:t>
            </w:r>
            <w:r>
              <w:rPr>
                <w:rFonts w:ascii="宋体" w:eastAsia="宋体" w:hAnsi="宋体"/>
                <w:szCs w:val="21"/>
              </w:rPr>
              <w:t>逐步与下游客户商议提价事宜。因海外业务周期较长，利润修复体现相对滞后。预计在原材料价格保持稳定的前提下，二季度利润将有较为明显的修复；若原材料继续上涨，将持续与客户协商调价，提升产品单价，维持毛利率平稳。存量旧料号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已实施涨价，</w:t>
            </w:r>
            <w:r>
              <w:rPr>
                <w:rFonts w:ascii="宋体" w:eastAsia="宋体" w:hAnsi="宋体" w:hint="eastAsia"/>
                <w:szCs w:val="21"/>
              </w:rPr>
              <w:t>主要是</w:t>
            </w:r>
            <w:r>
              <w:rPr>
                <w:rFonts w:ascii="宋体" w:eastAsia="宋体" w:hAnsi="宋体"/>
                <w:szCs w:val="21"/>
              </w:rPr>
              <w:t>基于合作共赢</w:t>
            </w:r>
            <w:r>
              <w:rPr>
                <w:rFonts w:ascii="宋体" w:eastAsia="宋体" w:hAnsi="宋体" w:hint="eastAsia"/>
                <w:szCs w:val="21"/>
              </w:rPr>
              <w:t>、与客户</w:t>
            </w:r>
            <w:r>
              <w:rPr>
                <w:rFonts w:ascii="宋体" w:eastAsia="宋体" w:hAnsi="宋体"/>
                <w:szCs w:val="21"/>
              </w:rPr>
              <w:t>协商共同承担。新料号</w:t>
            </w:r>
            <w:r>
              <w:rPr>
                <w:rFonts w:ascii="宋体" w:eastAsia="宋体" w:hAnsi="宋体" w:hint="eastAsia"/>
                <w:szCs w:val="21"/>
              </w:rPr>
              <w:t>已</w:t>
            </w:r>
            <w:r>
              <w:rPr>
                <w:rFonts w:ascii="宋体" w:eastAsia="宋体" w:hAnsi="宋体"/>
                <w:szCs w:val="21"/>
              </w:rPr>
              <w:t>充分考虑材料涨价与供需结构，完成价格调整，海外客户重视保供，接受度较高。</w:t>
            </w:r>
          </w:p>
          <w:p w14:paraId="70634EDD" w14:textId="77777777" w:rsidR="00A071AF" w:rsidRDefault="00000000">
            <w:pPr>
              <w:pStyle w:val="af"/>
              <w:spacing w:beforeLines="50" w:before="156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Q2、</w:t>
            </w:r>
            <w:r>
              <w:rPr>
                <w:rFonts w:ascii="宋体" w:eastAsia="宋体" w:hAnsi="宋体"/>
                <w:b/>
                <w:bCs/>
                <w:szCs w:val="21"/>
              </w:rPr>
              <w:t>公司的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埋嵌</w:t>
            </w:r>
            <w:r>
              <w:rPr>
                <w:rFonts w:ascii="宋体" w:eastAsia="宋体" w:hAnsi="宋体"/>
                <w:b/>
                <w:bCs/>
                <w:szCs w:val="21"/>
              </w:rPr>
              <w:t>业务在电源、汽车、未来AI服务器等领域均有较好的应用前景，请问能否分享该业务具体的客户拓展、应用领域进展，以及后续的收入规划与整体布局？</w:t>
            </w:r>
          </w:p>
          <w:p w14:paraId="2CD56AAC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埋</w:t>
            </w:r>
            <w:r>
              <w:rPr>
                <w:rFonts w:ascii="宋体" w:eastAsia="宋体" w:hAnsi="宋体" w:hint="eastAsia"/>
                <w:szCs w:val="21"/>
              </w:rPr>
              <w:t>嵌</w:t>
            </w:r>
            <w:r>
              <w:rPr>
                <w:rFonts w:ascii="宋体" w:eastAsia="宋体" w:hAnsi="宋体"/>
                <w:szCs w:val="21"/>
              </w:rPr>
              <w:t>产品的技术路线非常明确，核心聚焦高压方向，核心优势体现在三大方面：第一是对信号的优化，可实现集成电感的大幅优化；第二是对散热性能的优化；第三是集成度的优化。高压化后，产品铜线用量大幅减少，包括SS</w:t>
            </w:r>
            <w:r>
              <w:rPr>
                <w:rFonts w:ascii="宋体" w:eastAsia="宋体" w:hAnsi="宋体" w:hint="eastAsia"/>
                <w:szCs w:val="21"/>
              </w:rPr>
              <w:t>T</w:t>
            </w:r>
            <w:r>
              <w:rPr>
                <w:rFonts w:ascii="宋体" w:eastAsia="宋体" w:hAnsi="宋体"/>
                <w:szCs w:val="21"/>
              </w:rPr>
              <w:t>固态变压器方向的应用，可全面优化数据中心供电侧的场地空间、机柜内部空间，因此技术发展方向非常清晰。</w:t>
            </w:r>
          </w:p>
          <w:p w14:paraId="126A2207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目前PCB端的技术方案各有特色，相关新产品项目处于研发阶段，有严格的保密要求，同时</w:t>
            </w:r>
            <w:r>
              <w:rPr>
                <w:rFonts w:ascii="宋体" w:eastAsia="宋体" w:hAnsi="宋体" w:hint="eastAsia"/>
                <w:szCs w:val="21"/>
              </w:rPr>
              <w:t>公司也在与</w:t>
            </w:r>
            <w:r>
              <w:rPr>
                <w:rFonts w:ascii="宋体" w:eastAsia="宋体" w:hAnsi="宋体"/>
                <w:szCs w:val="21"/>
              </w:rPr>
              <w:t>多个</w:t>
            </w:r>
            <w:r>
              <w:rPr>
                <w:rFonts w:ascii="宋体" w:eastAsia="宋体" w:hAnsi="宋体" w:hint="eastAsia"/>
                <w:szCs w:val="21"/>
              </w:rPr>
              <w:t>终端客户</w:t>
            </w:r>
            <w:r>
              <w:rPr>
                <w:rFonts w:ascii="宋体" w:eastAsia="宋体" w:hAnsi="宋体"/>
                <w:szCs w:val="21"/>
              </w:rPr>
              <w:t>同步推进</w:t>
            </w:r>
            <w:r>
              <w:rPr>
                <w:rFonts w:ascii="宋体" w:eastAsia="宋体" w:hAnsi="宋体" w:hint="eastAsia"/>
                <w:szCs w:val="21"/>
              </w:rPr>
              <w:t>多个方案。</w:t>
            </w:r>
            <w:r>
              <w:rPr>
                <w:rFonts w:ascii="宋体" w:eastAsia="宋体" w:hAnsi="宋体"/>
                <w:szCs w:val="21"/>
              </w:rPr>
              <w:t>公司在车端、机器人、数据中心高压侧、板级垂直供电四大领域，持续推进埋</w:t>
            </w:r>
            <w:r>
              <w:rPr>
                <w:rFonts w:ascii="宋体" w:eastAsia="宋体" w:hAnsi="宋体" w:hint="eastAsia"/>
                <w:szCs w:val="21"/>
              </w:rPr>
              <w:t>嵌</w:t>
            </w:r>
            <w:r>
              <w:rPr>
                <w:rFonts w:ascii="宋体" w:eastAsia="宋体" w:hAnsi="宋体"/>
                <w:szCs w:val="21"/>
              </w:rPr>
              <w:t>业务的拓展落地。</w:t>
            </w:r>
          </w:p>
          <w:p w14:paraId="0CA81C58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Q3、</w:t>
            </w:r>
            <w:r>
              <w:rPr>
                <w:rFonts w:ascii="宋体" w:eastAsia="宋体" w:hAnsi="宋体"/>
                <w:b/>
                <w:bCs/>
                <w:szCs w:val="21"/>
              </w:rPr>
              <w:t>请问公司2025年AI相关业务的经营情况如何？能否给出2026年AI业务的进展指引？</w:t>
            </w:r>
          </w:p>
          <w:p w14:paraId="28541F7B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年公司AI相关业务，主要通过OEM模式为英伟达、AMD供应相关产品，核心包括为安费诺提供配套连接器件。2026年公司实现重大突破，已通过OEM模式进入谷歌供应体系，相关业务推进顺利，对公司产品结构优化及毛利率提升有明显贡献。同时，公司</w:t>
            </w:r>
            <w:r>
              <w:rPr>
                <w:rFonts w:ascii="宋体" w:eastAsia="宋体" w:hAnsi="宋体" w:hint="eastAsia"/>
                <w:szCs w:val="21"/>
              </w:rPr>
              <w:t>埋嵌</w:t>
            </w:r>
            <w:r>
              <w:rPr>
                <w:rFonts w:ascii="宋体" w:eastAsia="宋体" w:hAnsi="宋体"/>
                <w:szCs w:val="21"/>
              </w:rPr>
              <w:t>方案正在推进数据中心</w:t>
            </w:r>
            <w:r>
              <w:rPr>
                <w:rFonts w:ascii="宋体" w:eastAsia="宋体" w:hAnsi="宋体" w:hint="eastAsia"/>
                <w:szCs w:val="21"/>
              </w:rPr>
              <w:t>能源供应</w:t>
            </w:r>
            <w:r>
              <w:rPr>
                <w:rFonts w:ascii="宋体" w:eastAsia="宋体" w:hAnsi="宋体"/>
                <w:szCs w:val="21"/>
              </w:rPr>
              <w:t>相关配套方案落地，2026年将逐步释放增量。</w:t>
            </w:r>
          </w:p>
          <w:p w14:paraId="3E487E69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公司预计2026年AI业务将</w:t>
            </w:r>
            <w:r>
              <w:rPr>
                <w:rFonts w:ascii="宋体" w:eastAsia="宋体" w:hAnsi="宋体" w:hint="eastAsia"/>
                <w:szCs w:val="21"/>
              </w:rPr>
              <w:t>维持增长态势</w:t>
            </w:r>
            <w:r>
              <w:rPr>
                <w:rFonts w:ascii="宋体" w:eastAsia="宋体" w:hAnsi="宋体"/>
                <w:szCs w:val="21"/>
              </w:rPr>
              <w:t>，泰国工厂、</w:t>
            </w:r>
            <w:r>
              <w:rPr>
                <w:rFonts w:ascii="宋体" w:eastAsia="宋体" w:hAnsi="宋体" w:hint="eastAsia"/>
                <w:szCs w:val="21"/>
              </w:rPr>
              <w:t>鹤山</w:t>
            </w:r>
            <w:r>
              <w:rPr>
                <w:rFonts w:ascii="宋体" w:eastAsia="宋体" w:hAnsi="宋体"/>
                <w:szCs w:val="21"/>
              </w:rPr>
              <w:t>二期的高端产能可全面匹配AI高端产品的需求，支撑业务实现更快增长。</w:t>
            </w:r>
          </w:p>
          <w:p w14:paraId="7E265BFB" w14:textId="77777777" w:rsidR="00A071AF" w:rsidRDefault="00000000">
            <w:pPr>
              <w:spacing w:before="50" w:line="360" w:lineRule="auto"/>
              <w:contextualSpacing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Q4、</w:t>
            </w:r>
            <w:r>
              <w:rPr>
                <w:rFonts w:ascii="宋体" w:eastAsia="宋体" w:hAnsi="宋体"/>
                <w:b/>
                <w:bCs/>
                <w:szCs w:val="21"/>
              </w:rPr>
              <w:t>请问去年至今公司上游原材料的涨幅情况如何？目前向下游客户的成本传导进度怎样，能否覆盖成本上涨压力？</w:t>
            </w:r>
          </w:p>
          <w:p w14:paraId="20A3A439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</w:t>
            </w:r>
            <w:r>
              <w:rPr>
                <w:rFonts w:ascii="宋体" w:eastAsia="宋体" w:hAnsi="宋体"/>
                <w:szCs w:val="21"/>
              </w:rPr>
              <w:t>司将基于实际经营情况，</w:t>
            </w:r>
            <w:r>
              <w:rPr>
                <w:rFonts w:ascii="宋体" w:eastAsia="宋体" w:hAnsi="宋体" w:hint="eastAsia"/>
                <w:szCs w:val="21"/>
              </w:rPr>
              <w:t>对于存量业务</w:t>
            </w:r>
            <w:r>
              <w:rPr>
                <w:rFonts w:ascii="宋体" w:eastAsia="宋体" w:hAnsi="宋体"/>
                <w:szCs w:val="21"/>
              </w:rPr>
              <w:t>以维持合理毛利率为目标与客户协商议价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="宋体" w:eastAsia="宋体" w:hAnsi="宋体"/>
                <w:szCs w:val="21"/>
              </w:rPr>
              <w:t>新</w:t>
            </w:r>
            <w:r>
              <w:rPr>
                <w:rFonts w:ascii="宋体" w:eastAsia="宋体" w:hAnsi="宋体" w:hint="eastAsia"/>
                <w:szCs w:val="21"/>
              </w:rPr>
              <w:t>业务定价</w:t>
            </w:r>
            <w:r>
              <w:rPr>
                <w:rFonts w:ascii="宋体" w:eastAsia="宋体" w:hAnsi="宋体"/>
                <w:szCs w:val="21"/>
              </w:rPr>
              <w:t>充分考虑材料涨价</w:t>
            </w:r>
            <w:r>
              <w:rPr>
                <w:rFonts w:ascii="宋体" w:eastAsia="宋体" w:hAnsi="宋体" w:hint="eastAsia"/>
                <w:szCs w:val="21"/>
              </w:rPr>
              <w:t>情况与</w:t>
            </w:r>
            <w:r>
              <w:rPr>
                <w:rFonts w:ascii="宋体" w:eastAsia="宋体" w:hAnsi="宋体"/>
                <w:szCs w:val="21"/>
              </w:rPr>
              <w:t>供需结构；若外部环境发生变化，也会动态调整执行策略，保障公司产品毛利率维持在稳定区间。</w:t>
            </w:r>
          </w:p>
          <w:p w14:paraId="40DFD1E2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同时，公司将持续推动高价值产品的营收占比提升，这是应对原材料价格波动的核心逻辑——只有布局更高端的产品，才能更好地降低原材料波动对公司盈利的敏感性。</w:t>
            </w:r>
          </w:p>
          <w:p w14:paraId="6583A743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Q5、</w:t>
            </w:r>
            <w:r>
              <w:rPr>
                <w:rFonts w:ascii="宋体" w:eastAsia="宋体" w:hAnsi="宋体"/>
                <w:b/>
                <w:bCs/>
                <w:szCs w:val="21"/>
              </w:rPr>
              <w:t>公司汽车电子业务随着技术与客户合作深化，产品规格持续升级，能否从量化角度说明相关升级情况，比如车载主驱、HDI相关部件的料号升级进展？</w:t>
            </w:r>
          </w:p>
          <w:p w14:paraId="06B49F38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公司在与客户的配套合作中实现了多维度的产品升级：一是车载三电部件的设计结构正逐步转向HDI化；二是占公司业务比重较大的日系客户，正向智能化配置升级的方向发展，</w:t>
            </w:r>
            <w:r>
              <w:rPr>
                <w:rFonts w:ascii="宋体" w:eastAsia="宋体" w:hAnsi="宋体" w:hint="eastAsia"/>
                <w:szCs w:val="21"/>
              </w:rPr>
              <w:t>预计可以明显</w:t>
            </w:r>
            <w:r>
              <w:rPr>
                <w:rFonts w:ascii="宋体" w:eastAsia="宋体" w:hAnsi="宋体"/>
                <w:szCs w:val="21"/>
              </w:rPr>
              <w:t>带动单车PCB价值量的提升。</w:t>
            </w:r>
          </w:p>
          <w:p w14:paraId="5A4CCDB5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Q6、</w:t>
            </w:r>
            <w:r>
              <w:rPr>
                <w:rFonts w:ascii="宋体" w:eastAsia="宋体" w:hAnsi="宋体"/>
                <w:b/>
                <w:bCs/>
                <w:szCs w:val="21"/>
              </w:rPr>
              <w:t>公司泰国工厂今年进入产能爬坡期，此前已有多家友商在泰国落地工厂，但良率爬坡表现存在差异。请问公司为快速提升泰国工厂良率，在技术工人、产业链拉通等方面做了哪些储备？您此前提及二期将在良率达标后启动投入，是否意味着工厂爬坡周期约为一年？</w:t>
            </w:r>
          </w:p>
          <w:p w14:paraId="4F7C7298" w14:textId="77777777" w:rsidR="00A071AF" w:rsidRDefault="00000000">
            <w:pPr>
              <w:spacing w:line="360" w:lineRule="auto"/>
              <w:ind w:leftChars="50" w:left="105"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公司从三大核心维度做好了泰国工厂良率提升的全面储备与规划：</w:t>
            </w:r>
          </w:p>
          <w:p w14:paraId="744502E3" w14:textId="77777777" w:rsidR="00A071AF" w:rsidRDefault="00000000">
            <w:pPr>
              <w:tabs>
                <w:tab w:val="left" w:pos="720"/>
              </w:tabs>
              <w:spacing w:line="360" w:lineRule="auto"/>
              <w:ind w:leftChars="50" w:left="105" w:firstLine="20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（1）</w:t>
            </w:r>
            <w:r>
              <w:rPr>
                <w:rFonts w:ascii="宋体" w:eastAsia="宋体" w:hAnsi="宋体"/>
                <w:szCs w:val="21"/>
              </w:rPr>
              <w:t>核心管理团队：配备了具备</w:t>
            </w:r>
            <w:r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/>
                <w:szCs w:val="21"/>
              </w:rPr>
              <w:t>知名PCB工厂</w:t>
            </w:r>
            <w:r>
              <w:rPr>
                <w:rFonts w:ascii="宋体" w:eastAsia="宋体" w:hAnsi="宋体" w:hint="eastAsia"/>
                <w:szCs w:val="21"/>
              </w:rPr>
              <w:t>拥有</w:t>
            </w:r>
            <w:r>
              <w:rPr>
                <w:rFonts w:ascii="宋体" w:eastAsia="宋体" w:hAnsi="宋体"/>
                <w:szCs w:val="21"/>
              </w:rPr>
              <w:t>多年海外管理经验的团队，承接泰国工厂核心管理职责，对海外工厂的生产管理、节奏把控具备丰富的实战经验；</w:t>
            </w:r>
          </w:p>
          <w:p w14:paraId="168CBE38" w14:textId="77777777" w:rsidR="00A071AF" w:rsidRDefault="00000000">
            <w:pPr>
              <w:tabs>
                <w:tab w:val="left" w:pos="720"/>
              </w:tabs>
              <w:spacing w:line="360" w:lineRule="auto"/>
              <w:ind w:leftChars="50" w:left="105" w:firstLine="20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（2）</w:t>
            </w:r>
            <w:r>
              <w:rPr>
                <w:rFonts w:ascii="宋体" w:eastAsia="宋体" w:hAnsi="宋体"/>
                <w:szCs w:val="21"/>
              </w:rPr>
              <w:t>基层人才储备：前期招聘的泰国本地资深管理员工，已安排至国内总部完成系统培训；同时总部向泰国派驻了经验丰富的基层管理骨干，完成了完整的人才梯队搭建；</w:t>
            </w:r>
          </w:p>
          <w:p w14:paraId="306A38A5" w14:textId="77777777" w:rsidR="00A071AF" w:rsidRDefault="00000000">
            <w:pPr>
              <w:tabs>
                <w:tab w:val="left" w:pos="720"/>
              </w:tabs>
              <w:spacing w:line="360" w:lineRule="auto"/>
              <w:ind w:leftChars="50" w:left="105" w:firstLine="20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（3）</w:t>
            </w:r>
            <w:r>
              <w:rPr>
                <w:rFonts w:ascii="宋体" w:eastAsia="宋体" w:hAnsi="宋体"/>
                <w:szCs w:val="21"/>
              </w:rPr>
              <w:t>技术与设备保障：针对泰国本地生产节奏与国内的差异，工厂大量引入智能化、自动化生产设备，将核心生产流程纳入设备标准化管控，最大</w:t>
            </w:r>
            <w:r>
              <w:rPr>
                <w:rFonts w:ascii="宋体" w:eastAsia="宋体" w:hAnsi="宋体"/>
                <w:szCs w:val="21"/>
              </w:rPr>
              <w:lastRenderedPageBreak/>
              <w:t>限度减少人工干预，保障产品良率稳定提升。</w:t>
            </w:r>
          </w:p>
          <w:p w14:paraId="760BE4A9" w14:textId="77777777" w:rsidR="00A071AF" w:rsidRDefault="00000000">
            <w:pPr>
              <w:spacing w:line="360" w:lineRule="auto"/>
              <w:ind w:leftChars="50" w:left="105"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关于良率爬坡节奏，良率提升速度与生产产品的层级直接相关，产品层级越高，良率爬坡周期越长。泰国工厂定位高端产品，产线爬坡遵循循序渐进的行业通用逻辑：先实现产线整体稳定运行，再逐步导入高阶产品，最终完成整体良率提升。</w:t>
            </w:r>
          </w:p>
          <w:p w14:paraId="4150159D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Q7、</w:t>
            </w:r>
            <w:r>
              <w:rPr>
                <w:rFonts w:ascii="宋体" w:eastAsia="宋体" w:hAnsi="宋体"/>
                <w:b/>
                <w:bCs/>
                <w:szCs w:val="21"/>
              </w:rPr>
              <w:t>目前公司已出货的AI相关产品中，HDI与高多层板的最高规格达到了什么层级？江门鹤山基地可适配AI订单的产能规模有多大？</w:t>
            </w:r>
          </w:p>
          <w:p w14:paraId="385A095E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公司鹤山基地整体产能规模为550万㎡/年，目前正在鹤山规划五工厂二期及芯创智载项目，两大项目投产后，公司HDI产能规模将显著提升，可充分满足客户未来的订单需求。同时，泰国工厂规划产能中，可全面配合全球客户的AI高端产品需求。</w:t>
            </w:r>
          </w:p>
          <w:p w14:paraId="7126331D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Q8、</w:t>
            </w:r>
            <w:r>
              <w:rPr>
                <w:rFonts w:ascii="宋体" w:eastAsia="宋体" w:hAnsi="宋体"/>
                <w:b/>
                <w:bCs/>
                <w:szCs w:val="21"/>
              </w:rPr>
              <w:t>公司今年及后续有多项扩产投资计划，目前货币资金储备约十几亿元，请问公司后续是否有融资、再融资相关规划？</w:t>
            </w:r>
          </w:p>
          <w:p w14:paraId="6183C2D0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除货币资金外，公司交易性金融资产（理财）还有2</w:t>
            </w:r>
            <w:r>
              <w:rPr>
                <w:rFonts w:ascii="宋体" w:eastAsia="宋体" w:hAnsi="宋体" w:hint="eastAsia"/>
                <w:szCs w:val="21"/>
              </w:rPr>
              <w:t>4.66亿</w:t>
            </w:r>
            <w:r>
              <w:rPr>
                <w:rFonts w:ascii="宋体" w:eastAsia="宋体" w:hAnsi="宋体"/>
                <w:szCs w:val="21"/>
              </w:rPr>
              <w:t>元，除募投资金外，其余均为公司自有资金，目前自有资金相对充裕，可满足当前各项投资的资金需求。同时，公司也会结合市场情况，统筹安排后续融资、再融资相关事宜，具体进展将以公司正式公告为准。</w:t>
            </w:r>
          </w:p>
          <w:p w14:paraId="16D59954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Q9、</w:t>
            </w:r>
            <w:r>
              <w:rPr>
                <w:rFonts w:ascii="宋体" w:eastAsia="宋体" w:hAnsi="宋体"/>
                <w:b/>
                <w:bCs/>
                <w:szCs w:val="21"/>
              </w:rPr>
              <w:t>作为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T客户</w:t>
            </w:r>
            <w:r>
              <w:rPr>
                <w:rFonts w:ascii="宋体" w:eastAsia="宋体" w:hAnsi="宋体"/>
                <w:b/>
                <w:bCs/>
                <w:szCs w:val="21"/>
              </w:rPr>
              <w:t>长期合作的核心供应商，请问公司如何平衡投资有效性与客户快速增长的需求，保障配套份额不流失？针对客户极短的准备周期，公司做了哪些应对准备？</w:t>
            </w:r>
          </w:p>
          <w:p w14:paraId="1B67F758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基于和核心客户的长期深度合作，我们在产品的研发阶段，就已全程参与联合开发。比如今年春节期间，我们团队基本无休，持续推进产品迭代优化。</w:t>
            </w:r>
          </w:p>
          <w:p w14:paraId="7E88BDE9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长期的协同研发，我们对客户产品的设计理念、材料选型、加工工艺、可靠性测试要求，以及未来的技术升级方向都有全面且深入的理解。我们已将客户的产品设计需求，与公司现有产能支撑能力、扩产产线规划做了精准的分析与对接，从设备产能储备、技术路线可靠性验证，到配套团队搭建，都做了充分的准备。目前国内、泰国的产线同步推进适配，新产品在两大基地均已同步开展研发与试产工作。</w:t>
            </w:r>
          </w:p>
          <w:p w14:paraId="5EEA96C4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Q10、</w:t>
            </w:r>
            <w:r>
              <w:rPr>
                <w:rFonts w:ascii="宋体" w:eastAsia="宋体" w:hAnsi="宋体"/>
                <w:b/>
                <w:bCs/>
                <w:szCs w:val="21"/>
              </w:rPr>
              <w:t>请问针对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T客户</w:t>
            </w:r>
            <w:r>
              <w:rPr>
                <w:rFonts w:ascii="宋体" w:eastAsia="宋体" w:hAnsi="宋体"/>
                <w:b/>
                <w:bCs/>
                <w:szCs w:val="21"/>
              </w:rPr>
              <w:t>第三代Optimus机器人生产线，公司目前已有产能及待投产产能中，预留了多少对应配套的产能规模？</w:t>
            </w:r>
          </w:p>
          <w:p w14:paraId="68A6D89C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机器人项目与车载FSD系统采用平台化设计，尽管在关节执行器、灵巧手等部件上有技术迭代，但其核心的大脑、小脑、躯体控制及通讯模块的设计高度同源。因此公司现有产线在产品适配层面已做好了充分的产能与技术储备。</w:t>
            </w:r>
          </w:p>
          <w:p w14:paraId="63D0B8BA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Q11、</w:t>
            </w:r>
            <w:r>
              <w:rPr>
                <w:rFonts w:ascii="宋体" w:eastAsia="宋体" w:hAnsi="宋体"/>
                <w:b/>
                <w:bCs/>
                <w:szCs w:val="21"/>
              </w:rPr>
              <w:t>2025年年报业绩不及市场预期，除了汇兑损失和原材料涨价之外，是否还有其他未被关注到的影响因素？一季度原材料价格趋稳、提价逐步传导，叠加公司可能采取的汇率对冲手段，是否可以预期一季度及后续报表端的盈利水平将迎来回升？</w:t>
            </w:r>
          </w:p>
          <w:p w14:paraId="594BB287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2025年业绩表现中，第四季度较前三季度承压明显，核心影响因素有三方面：一是最核心的原材料涨价影响，二是汇率下行带来的汇兑影响，三是</w:t>
            </w:r>
            <w:r>
              <w:rPr>
                <w:rFonts w:ascii="宋体" w:eastAsia="宋体" w:hAnsi="宋体" w:hint="eastAsia"/>
                <w:szCs w:val="21"/>
              </w:rPr>
              <w:t>前期的投资收益</w:t>
            </w:r>
            <w:r>
              <w:rPr>
                <w:rFonts w:ascii="宋体" w:eastAsia="宋体" w:hAnsi="宋体"/>
                <w:szCs w:val="21"/>
              </w:rPr>
              <w:t>回撤，带来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影响。</w:t>
            </w:r>
          </w:p>
          <w:p w14:paraId="480CC1A7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关于一季度及后续的盈利情况，一季度相较于2025年四季度，汇率下行、原材料上涨的趋势仍在延续，具体经营数据请以公司正式披露的定期报告为准。</w:t>
            </w:r>
          </w:p>
          <w:p w14:paraId="2C6E10FD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Q12、</w:t>
            </w:r>
            <w:r>
              <w:rPr>
                <w:rFonts w:ascii="宋体" w:eastAsia="宋体" w:hAnsi="宋体"/>
                <w:b/>
                <w:bCs/>
                <w:szCs w:val="21"/>
              </w:rPr>
              <w:t>请问公司与下游客户的常规议价周期是怎样的？本轮原材料上涨的成本顺价，预计会滞后几个季度在报表端体现？</w:t>
            </w:r>
          </w:p>
          <w:p w14:paraId="158E9447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常规情况下，公司与下游客户的议价周期为一年两次，分别在年中、年末。自去年11月起，原材料价格出现大幅、多次叠加上涨，针对本轮涨价，公司一方面同步与客户协商调价，另一方面已将产品计价与大宗金属价格挂钩，当贵金属价格出现大幅波动时，可同步与客户启动价格协商。</w:t>
            </w:r>
          </w:p>
          <w:p w14:paraId="19DB1D85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目前从产业链上下游共识来看，未来原材料供需预计持续偏紧，终端客户对本轮涨价的接受度较高，相关价格协商预计在二季度将有显著落地与成效体现。</w:t>
            </w:r>
          </w:p>
          <w:p w14:paraId="060833DD" w14:textId="77777777" w:rsidR="00A071AF" w:rsidRDefault="00000000">
            <w:pPr>
              <w:pStyle w:val="af"/>
              <w:spacing w:before="50" w:line="360" w:lineRule="auto"/>
              <w:ind w:firstLineChars="0" w:firstLine="0"/>
              <w:contextualSpacing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Q13、</w:t>
            </w:r>
            <w:r>
              <w:rPr>
                <w:rFonts w:ascii="宋体" w:eastAsia="宋体" w:hAnsi="宋体"/>
                <w:b/>
                <w:bCs/>
                <w:szCs w:val="21"/>
              </w:rPr>
              <w:t>请问公司2025年已投产的产能规模是多少？对应产能利用率为多少？2026年规划新增的投产产能有多少？</w:t>
            </w:r>
          </w:p>
          <w:p w14:paraId="03BA4FC6" w14:textId="77777777" w:rsidR="00A071AF" w:rsidRDefault="00000000">
            <w:pPr>
              <w:spacing w:before="50" w:line="360" w:lineRule="auto"/>
              <w:ind w:firstLineChars="200" w:firstLine="420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2025年公司整体产能规模约550万㎡，全年产能利用率约85%。2026年</w:t>
            </w:r>
            <w:r>
              <w:rPr>
                <w:rFonts w:ascii="宋体" w:eastAsia="宋体" w:hAnsi="宋体"/>
                <w:szCs w:val="21"/>
              </w:rPr>
              <w:lastRenderedPageBreak/>
              <w:t>公司产能提升主要来自两大核心项目，一是泰国工厂项目，规划新增产能60万㎡；二是五工厂二期项目，规划新增产能70万㎡。</w:t>
            </w:r>
          </w:p>
        </w:tc>
      </w:tr>
      <w:tr w:rsidR="00A071AF" w14:paraId="4BA8469E" w14:textId="77777777">
        <w:tc>
          <w:tcPr>
            <w:tcW w:w="1129" w:type="dxa"/>
          </w:tcPr>
          <w:p w14:paraId="2E27921A" w14:textId="77777777" w:rsidR="00A071AF" w:rsidRDefault="00000000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关于本次活动是否涉及应披露重大信息的说明</w:t>
            </w:r>
          </w:p>
        </w:tc>
        <w:tc>
          <w:tcPr>
            <w:tcW w:w="7167" w:type="dxa"/>
          </w:tcPr>
          <w:p w14:paraId="3F1CB714" w14:textId="77777777" w:rsidR="00A071AF" w:rsidRDefault="00000000">
            <w:pPr>
              <w:spacing w:beforeLines="50" w:before="15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接待交流过程中，公司接待人员严格按照有关制度要求，没有出现未公开重大信息泄露等情况。</w:t>
            </w:r>
          </w:p>
        </w:tc>
      </w:tr>
      <w:tr w:rsidR="00A071AF" w14:paraId="16C493A2" w14:textId="77777777">
        <w:tc>
          <w:tcPr>
            <w:tcW w:w="1129" w:type="dxa"/>
          </w:tcPr>
          <w:p w14:paraId="11A9F8C3" w14:textId="77777777" w:rsidR="00A071AF" w:rsidRDefault="00000000">
            <w:pPr>
              <w:spacing w:beforeLines="50" w:before="156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>活动过程中所使用的演示文稿、提供文档等附件（如有）</w:t>
            </w:r>
          </w:p>
        </w:tc>
        <w:tc>
          <w:tcPr>
            <w:tcW w:w="7167" w:type="dxa"/>
          </w:tcPr>
          <w:p w14:paraId="40B910C1" w14:textId="598D4819" w:rsidR="00A071AF" w:rsidRDefault="00A071AF">
            <w:pPr>
              <w:spacing w:line="288" w:lineRule="auto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14:paraId="0E606753" w14:textId="77777777" w:rsidR="00A071AF" w:rsidRDefault="00A071AF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23689AD8" w14:textId="77777777" w:rsidR="00A071AF" w:rsidRDefault="00A071AF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7F091314" w14:textId="77777777" w:rsidR="00A071AF" w:rsidRDefault="00A071AF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p w14:paraId="1A2DD277" w14:textId="77777777" w:rsidR="00A071AF" w:rsidRDefault="00A071AF">
      <w:pPr>
        <w:spacing w:line="288" w:lineRule="auto"/>
        <w:rPr>
          <w:rFonts w:ascii="宋体" w:eastAsia="宋体" w:hAnsi="宋体" w:hint="eastAsia"/>
          <w:sz w:val="24"/>
          <w:szCs w:val="24"/>
        </w:rPr>
      </w:pPr>
    </w:p>
    <w:sectPr w:rsidR="00A071A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42719" w14:textId="77777777" w:rsidR="009E7E0C" w:rsidRDefault="009E7E0C">
      <w:pPr>
        <w:rPr>
          <w:rFonts w:hint="eastAsia"/>
        </w:rPr>
      </w:pPr>
      <w:r>
        <w:separator/>
      </w:r>
    </w:p>
  </w:endnote>
  <w:endnote w:type="continuationSeparator" w:id="0">
    <w:p w14:paraId="2E563F7B" w14:textId="77777777" w:rsidR="009E7E0C" w:rsidRDefault="009E7E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E6A8" w14:textId="77777777" w:rsidR="009E7E0C" w:rsidRDefault="009E7E0C">
      <w:pPr>
        <w:rPr>
          <w:rFonts w:hint="eastAsia"/>
        </w:rPr>
      </w:pPr>
      <w:r>
        <w:separator/>
      </w:r>
    </w:p>
  </w:footnote>
  <w:footnote w:type="continuationSeparator" w:id="0">
    <w:p w14:paraId="49EA6B8C" w14:textId="77777777" w:rsidR="009E7E0C" w:rsidRDefault="009E7E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3F55" w14:textId="77777777" w:rsidR="00A071AF" w:rsidRDefault="00000000">
    <w:pPr>
      <w:pStyle w:val="a9"/>
      <w:jc w:val="right"/>
      <w:rPr>
        <w:rFonts w:ascii="宋体" w:eastAsia="宋体" w:hAnsi="宋体"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23E712" wp14:editId="1B64653F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 w:hint="eastAsia"/>
      </w:rPr>
      <w:t>广东世运电路科技股份有限公司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73D1"/>
    <w:rsid w:val="00027018"/>
    <w:rsid w:val="00030614"/>
    <w:rsid w:val="00036345"/>
    <w:rsid w:val="0003793B"/>
    <w:rsid w:val="00045B54"/>
    <w:rsid w:val="00046312"/>
    <w:rsid w:val="0005223A"/>
    <w:rsid w:val="00054739"/>
    <w:rsid w:val="0007712D"/>
    <w:rsid w:val="00096B62"/>
    <w:rsid w:val="000A1892"/>
    <w:rsid w:val="000A69BD"/>
    <w:rsid w:val="000A7D28"/>
    <w:rsid w:val="000C5027"/>
    <w:rsid w:val="000C5C75"/>
    <w:rsid w:val="000C706E"/>
    <w:rsid w:val="000D4F64"/>
    <w:rsid w:val="000D4FF0"/>
    <w:rsid w:val="000D7352"/>
    <w:rsid w:val="000F3A9B"/>
    <w:rsid w:val="000F3A9D"/>
    <w:rsid w:val="00100FAA"/>
    <w:rsid w:val="00104550"/>
    <w:rsid w:val="00107F55"/>
    <w:rsid w:val="001129B3"/>
    <w:rsid w:val="00124953"/>
    <w:rsid w:val="00143884"/>
    <w:rsid w:val="00152732"/>
    <w:rsid w:val="00154C03"/>
    <w:rsid w:val="00155602"/>
    <w:rsid w:val="00163193"/>
    <w:rsid w:val="00171314"/>
    <w:rsid w:val="001724B6"/>
    <w:rsid w:val="00174DC1"/>
    <w:rsid w:val="00175DBF"/>
    <w:rsid w:val="001779EB"/>
    <w:rsid w:val="001853C5"/>
    <w:rsid w:val="0018682D"/>
    <w:rsid w:val="0018766C"/>
    <w:rsid w:val="001A3449"/>
    <w:rsid w:val="001B6FF0"/>
    <w:rsid w:val="001E71FD"/>
    <w:rsid w:val="001F5277"/>
    <w:rsid w:val="001F6156"/>
    <w:rsid w:val="001F6E83"/>
    <w:rsid w:val="001F7E85"/>
    <w:rsid w:val="0021218D"/>
    <w:rsid w:val="00212C3A"/>
    <w:rsid w:val="0022298A"/>
    <w:rsid w:val="002259B9"/>
    <w:rsid w:val="00243DDF"/>
    <w:rsid w:val="0025049E"/>
    <w:rsid w:val="00250545"/>
    <w:rsid w:val="00252208"/>
    <w:rsid w:val="00254902"/>
    <w:rsid w:val="00254C8F"/>
    <w:rsid w:val="00265A27"/>
    <w:rsid w:val="00273941"/>
    <w:rsid w:val="0027410F"/>
    <w:rsid w:val="00280A12"/>
    <w:rsid w:val="002816D6"/>
    <w:rsid w:val="00285F94"/>
    <w:rsid w:val="002903A9"/>
    <w:rsid w:val="00290521"/>
    <w:rsid w:val="0029454B"/>
    <w:rsid w:val="002955FC"/>
    <w:rsid w:val="002A3DBE"/>
    <w:rsid w:val="002A539C"/>
    <w:rsid w:val="002A6470"/>
    <w:rsid w:val="002B7E0D"/>
    <w:rsid w:val="002C22C5"/>
    <w:rsid w:val="002C29DA"/>
    <w:rsid w:val="002C3952"/>
    <w:rsid w:val="002D58FD"/>
    <w:rsid w:val="002E26C4"/>
    <w:rsid w:val="002E7391"/>
    <w:rsid w:val="00312194"/>
    <w:rsid w:val="00315378"/>
    <w:rsid w:val="00320A9B"/>
    <w:rsid w:val="00322780"/>
    <w:rsid w:val="00331AB7"/>
    <w:rsid w:val="00336799"/>
    <w:rsid w:val="003376B2"/>
    <w:rsid w:val="003403F4"/>
    <w:rsid w:val="00341151"/>
    <w:rsid w:val="003501CC"/>
    <w:rsid w:val="00362C81"/>
    <w:rsid w:val="00364D86"/>
    <w:rsid w:val="00373816"/>
    <w:rsid w:val="00375CB3"/>
    <w:rsid w:val="00392A07"/>
    <w:rsid w:val="003B1385"/>
    <w:rsid w:val="003D28C2"/>
    <w:rsid w:val="003E6026"/>
    <w:rsid w:val="00405C69"/>
    <w:rsid w:val="004315B4"/>
    <w:rsid w:val="00433463"/>
    <w:rsid w:val="004431FD"/>
    <w:rsid w:val="004452D6"/>
    <w:rsid w:val="00457BB0"/>
    <w:rsid w:val="004639CC"/>
    <w:rsid w:val="0046424B"/>
    <w:rsid w:val="00465A18"/>
    <w:rsid w:val="0046631F"/>
    <w:rsid w:val="00471A3B"/>
    <w:rsid w:val="004749DD"/>
    <w:rsid w:val="00477B20"/>
    <w:rsid w:val="0048478D"/>
    <w:rsid w:val="004A7CC7"/>
    <w:rsid w:val="004A7CCB"/>
    <w:rsid w:val="004B071D"/>
    <w:rsid w:val="004B3B99"/>
    <w:rsid w:val="004B7AB6"/>
    <w:rsid w:val="004C0019"/>
    <w:rsid w:val="004D339B"/>
    <w:rsid w:val="004D7330"/>
    <w:rsid w:val="004F207B"/>
    <w:rsid w:val="004F34CC"/>
    <w:rsid w:val="005024EC"/>
    <w:rsid w:val="00521570"/>
    <w:rsid w:val="005239FC"/>
    <w:rsid w:val="0054235A"/>
    <w:rsid w:val="00550169"/>
    <w:rsid w:val="00556768"/>
    <w:rsid w:val="00561C55"/>
    <w:rsid w:val="005767BA"/>
    <w:rsid w:val="005779BD"/>
    <w:rsid w:val="0059763A"/>
    <w:rsid w:val="005B3D55"/>
    <w:rsid w:val="005B60AF"/>
    <w:rsid w:val="005C2601"/>
    <w:rsid w:val="005C32DE"/>
    <w:rsid w:val="005D18B7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714F8"/>
    <w:rsid w:val="00680A03"/>
    <w:rsid w:val="006810D5"/>
    <w:rsid w:val="006814C0"/>
    <w:rsid w:val="00681C74"/>
    <w:rsid w:val="00683510"/>
    <w:rsid w:val="00690F8F"/>
    <w:rsid w:val="00693F39"/>
    <w:rsid w:val="006A2590"/>
    <w:rsid w:val="006B79D4"/>
    <w:rsid w:val="006C3853"/>
    <w:rsid w:val="006C405E"/>
    <w:rsid w:val="006C559A"/>
    <w:rsid w:val="006D090B"/>
    <w:rsid w:val="006E229C"/>
    <w:rsid w:val="006E5DFA"/>
    <w:rsid w:val="006F1BC4"/>
    <w:rsid w:val="006F50E1"/>
    <w:rsid w:val="006F5513"/>
    <w:rsid w:val="0070756E"/>
    <w:rsid w:val="00710620"/>
    <w:rsid w:val="00716626"/>
    <w:rsid w:val="0073277A"/>
    <w:rsid w:val="0073293A"/>
    <w:rsid w:val="007367B8"/>
    <w:rsid w:val="00740B07"/>
    <w:rsid w:val="0076216B"/>
    <w:rsid w:val="0077534D"/>
    <w:rsid w:val="00783B9F"/>
    <w:rsid w:val="007867D8"/>
    <w:rsid w:val="007A58C2"/>
    <w:rsid w:val="007B7472"/>
    <w:rsid w:val="007C39AA"/>
    <w:rsid w:val="007D2238"/>
    <w:rsid w:val="007D2297"/>
    <w:rsid w:val="007D4003"/>
    <w:rsid w:val="007D6B8A"/>
    <w:rsid w:val="007E5FD7"/>
    <w:rsid w:val="007F0307"/>
    <w:rsid w:val="007F1CB3"/>
    <w:rsid w:val="007F4BE0"/>
    <w:rsid w:val="007F7AD8"/>
    <w:rsid w:val="008037CD"/>
    <w:rsid w:val="0080457D"/>
    <w:rsid w:val="00805C7B"/>
    <w:rsid w:val="00812FE7"/>
    <w:rsid w:val="00815903"/>
    <w:rsid w:val="00816DFD"/>
    <w:rsid w:val="00830CFD"/>
    <w:rsid w:val="00837385"/>
    <w:rsid w:val="0085137F"/>
    <w:rsid w:val="008675BC"/>
    <w:rsid w:val="0087292B"/>
    <w:rsid w:val="00873336"/>
    <w:rsid w:val="00880999"/>
    <w:rsid w:val="00895B67"/>
    <w:rsid w:val="00897524"/>
    <w:rsid w:val="008C73B1"/>
    <w:rsid w:val="008D4866"/>
    <w:rsid w:val="008E48C5"/>
    <w:rsid w:val="008E4DFE"/>
    <w:rsid w:val="008E64D4"/>
    <w:rsid w:val="008E6FD2"/>
    <w:rsid w:val="008F2933"/>
    <w:rsid w:val="008F4465"/>
    <w:rsid w:val="008F6421"/>
    <w:rsid w:val="008F7FCA"/>
    <w:rsid w:val="00904215"/>
    <w:rsid w:val="009144FB"/>
    <w:rsid w:val="00917846"/>
    <w:rsid w:val="009328A8"/>
    <w:rsid w:val="009446FB"/>
    <w:rsid w:val="00951D93"/>
    <w:rsid w:val="00954DB6"/>
    <w:rsid w:val="00960FC6"/>
    <w:rsid w:val="009626BC"/>
    <w:rsid w:val="00964226"/>
    <w:rsid w:val="00967BA1"/>
    <w:rsid w:val="00972061"/>
    <w:rsid w:val="00987104"/>
    <w:rsid w:val="00997D8F"/>
    <w:rsid w:val="009A2DDF"/>
    <w:rsid w:val="009A52F0"/>
    <w:rsid w:val="009A6757"/>
    <w:rsid w:val="009A6B04"/>
    <w:rsid w:val="009A7C69"/>
    <w:rsid w:val="009C2F0C"/>
    <w:rsid w:val="009C6396"/>
    <w:rsid w:val="009C668C"/>
    <w:rsid w:val="009D0AC8"/>
    <w:rsid w:val="009E0F8A"/>
    <w:rsid w:val="009E4DE6"/>
    <w:rsid w:val="009E7E0C"/>
    <w:rsid w:val="009F500F"/>
    <w:rsid w:val="009F5C45"/>
    <w:rsid w:val="00A0024D"/>
    <w:rsid w:val="00A071AF"/>
    <w:rsid w:val="00A17526"/>
    <w:rsid w:val="00A228A7"/>
    <w:rsid w:val="00A32DD6"/>
    <w:rsid w:val="00A45953"/>
    <w:rsid w:val="00A50EF1"/>
    <w:rsid w:val="00A576EB"/>
    <w:rsid w:val="00A67080"/>
    <w:rsid w:val="00A75B6B"/>
    <w:rsid w:val="00A8243C"/>
    <w:rsid w:val="00A869F4"/>
    <w:rsid w:val="00A8751A"/>
    <w:rsid w:val="00A978F5"/>
    <w:rsid w:val="00AB5374"/>
    <w:rsid w:val="00AB6DF9"/>
    <w:rsid w:val="00AC59B5"/>
    <w:rsid w:val="00AC7D0C"/>
    <w:rsid w:val="00AF1E12"/>
    <w:rsid w:val="00AF7A82"/>
    <w:rsid w:val="00B01807"/>
    <w:rsid w:val="00B073C3"/>
    <w:rsid w:val="00B12EBD"/>
    <w:rsid w:val="00B237D2"/>
    <w:rsid w:val="00B26A69"/>
    <w:rsid w:val="00B3412F"/>
    <w:rsid w:val="00B34D2A"/>
    <w:rsid w:val="00B4526E"/>
    <w:rsid w:val="00B53CB6"/>
    <w:rsid w:val="00B62A3D"/>
    <w:rsid w:val="00B72569"/>
    <w:rsid w:val="00B81A7F"/>
    <w:rsid w:val="00B8570F"/>
    <w:rsid w:val="00B86BD4"/>
    <w:rsid w:val="00B87A2E"/>
    <w:rsid w:val="00BA08AA"/>
    <w:rsid w:val="00BB6263"/>
    <w:rsid w:val="00BC020A"/>
    <w:rsid w:val="00BC47CD"/>
    <w:rsid w:val="00BD3B7B"/>
    <w:rsid w:val="00BD5D38"/>
    <w:rsid w:val="00BF1274"/>
    <w:rsid w:val="00C00BC4"/>
    <w:rsid w:val="00C16904"/>
    <w:rsid w:val="00C25EE7"/>
    <w:rsid w:val="00C4401E"/>
    <w:rsid w:val="00C44C02"/>
    <w:rsid w:val="00C557FA"/>
    <w:rsid w:val="00C55AD6"/>
    <w:rsid w:val="00C736A2"/>
    <w:rsid w:val="00C839F5"/>
    <w:rsid w:val="00C83E6F"/>
    <w:rsid w:val="00C91E9E"/>
    <w:rsid w:val="00C9655B"/>
    <w:rsid w:val="00CA5D12"/>
    <w:rsid w:val="00CB413E"/>
    <w:rsid w:val="00CC0C01"/>
    <w:rsid w:val="00CC50E2"/>
    <w:rsid w:val="00CD460C"/>
    <w:rsid w:val="00CD70CF"/>
    <w:rsid w:val="00CE739D"/>
    <w:rsid w:val="00CF0224"/>
    <w:rsid w:val="00CF0762"/>
    <w:rsid w:val="00CF2464"/>
    <w:rsid w:val="00CF3395"/>
    <w:rsid w:val="00CF6B98"/>
    <w:rsid w:val="00D002FC"/>
    <w:rsid w:val="00D01B3C"/>
    <w:rsid w:val="00D04BAA"/>
    <w:rsid w:val="00D10751"/>
    <w:rsid w:val="00D13951"/>
    <w:rsid w:val="00D24FA0"/>
    <w:rsid w:val="00D32581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4C5B"/>
    <w:rsid w:val="00E0549B"/>
    <w:rsid w:val="00E130BD"/>
    <w:rsid w:val="00E148DB"/>
    <w:rsid w:val="00E1555F"/>
    <w:rsid w:val="00E215F2"/>
    <w:rsid w:val="00E23603"/>
    <w:rsid w:val="00E237EC"/>
    <w:rsid w:val="00E31222"/>
    <w:rsid w:val="00E64ADA"/>
    <w:rsid w:val="00E70895"/>
    <w:rsid w:val="00E75595"/>
    <w:rsid w:val="00E930B8"/>
    <w:rsid w:val="00E93472"/>
    <w:rsid w:val="00EA1549"/>
    <w:rsid w:val="00ED7144"/>
    <w:rsid w:val="00EE14BA"/>
    <w:rsid w:val="00EE2F53"/>
    <w:rsid w:val="00EE43FC"/>
    <w:rsid w:val="00EE522A"/>
    <w:rsid w:val="00EF75B8"/>
    <w:rsid w:val="00F17D42"/>
    <w:rsid w:val="00F27AFD"/>
    <w:rsid w:val="00F31E5C"/>
    <w:rsid w:val="00F331F2"/>
    <w:rsid w:val="00F513BC"/>
    <w:rsid w:val="00F718AD"/>
    <w:rsid w:val="00F94F2F"/>
    <w:rsid w:val="00F9501C"/>
    <w:rsid w:val="00FA2812"/>
    <w:rsid w:val="00FA3046"/>
    <w:rsid w:val="00FA3F4D"/>
    <w:rsid w:val="00FA78BD"/>
    <w:rsid w:val="00FB3FBC"/>
    <w:rsid w:val="00FF3B30"/>
    <w:rsid w:val="015F4BD0"/>
    <w:rsid w:val="05245EC7"/>
    <w:rsid w:val="09356565"/>
    <w:rsid w:val="0C255797"/>
    <w:rsid w:val="102B4AA5"/>
    <w:rsid w:val="15D31F5B"/>
    <w:rsid w:val="17924D93"/>
    <w:rsid w:val="179E0FC9"/>
    <w:rsid w:val="17FF3103"/>
    <w:rsid w:val="18AA570E"/>
    <w:rsid w:val="1B8F523F"/>
    <w:rsid w:val="1C6A39D3"/>
    <w:rsid w:val="1D562B86"/>
    <w:rsid w:val="20632D0D"/>
    <w:rsid w:val="21301222"/>
    <w:rsid w:val="219537A4"/>
    <w:rsid w:val="21997ACE"/>
    <w:rsid w:val="22AE2B9B"/>
    <w:rsid w:val="22FF5201"/>
    <w:rsid w:val="26BB599A"/>
    <w:rsid w:val="28392672"/>
    <w:rsid w:val="2B7D093F"/>
    <w:rsid w:val="2E5F0EDB"/>
    <w:rsid w:val="2E6D4845"/>
    <w:rsid w:val="35E623C9"/>
    <w:rsid w:val="35ED0854"/>
    <w:rsid w:val="37464DD3"/>
    <w:rsid w:val="3B60044E"/>
    <w:rsid w:val="3D077460"/>
    <w:rsid w:val="3D6627D1"/>
    <w:rsid w:val="3FAE0B3D"/>
    <w:rsid w:val="4328665C"/>
    <w:rsid w:val="46554434"/>
    <w:rsid w:val="518576BF"/>
    <w:rsid w:val="56BF0D97"/>
    <w:rsid w:val="57F44A81"/>
    <w:rsid w:val="5A57728F"/>
    <w:rsid w:val="5AE2794C"/>
    <w:rsid w:val="5C86208C"/>
    <w:rsid w:val="5DFC012C"/>
    <w:rsid w:val="5E682FAD"/>
    <w:rsid w:val="5F8D3A15"/>
    <w:rsid w:val="61C31253"/>
    <w:rsid w:val="61CB3443"/>
    <w:rsid w:val="647B728D"/>
    <w:rsid w:val="66710DA7"/>
    <w:rsid w:val="67C9744E"/>
    <w:rsid w:val="6C957922"/>
    <w:rsid w:val="6DA607CA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E4D13E4"/>
    <w:rsid w:val="7F651B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7CB7E"/>
  <w15:docId w15:val="{DC5DFEEF-B7A6-4B2F-B80F-6D89D50F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1ec1a7f7-1873-4214-83b7-c8bfc8cf87b6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498D8706</paraID>
      <start>428</start>
      <end>431</end>
      <status>unmodified</status>
      <modifiedWord/>
      <trackRevisions>false</trackRevisions>
    </reviewItem>
    <reviewItem>
      <errorID>97700526-f59a-49d9-ab5c-60214b8ab350</errorID>
      <errorWord>综合</errorWord>
      <group>L1_Grammar</group>
      <groupName>语法问题</groupName>
      <ability>L2_Grammar</ability>
      <abilityName>语法错误</abilityName>
      <candidateList>
        <item>等因素综合</item>
      </candidateList>
      <explain/>
      <paraID>6E65863C</paraID>
      <start>173</start>
      <end>175</end>
      <status>unmodified</status>
      <modifiedWord/>
      <trackRevisions>false</trackRevisions>
    </reviewItem>
    <reviewItem>
      <errorID>ff958f0f-198a-4afb-ac66-61da43979035</errorID>
      <errorWord>存量</errorWord>
      <group>L1_Grammar</group>
      <groupName>语法问题</groupName>
      <ability>L2_Grammar</ability>
      <abilityName>语法错误</abilityName>
      <candidateList>
        <item>对于存量</item>
      </candidateList>
      <explain/>
      <paraID>3DABA2F3</paraID>
      <start>110</start>
      <end>112</end>
      <status>unmodified</status>
      <modifiedWord/>
      <trackRevisions>false</trackRevisions>
    </reviewItem>
    <reviewItem>
      <errorID>a3a7c8c3-9a6c-4855-9ff1-652f66437837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3DABA2F3</paraID>
      <start>131</start>
      <end>132</end>
      <status>unmodified</status>
      <modifiedWord/>
      <trackRevisions>false</trackRevisions>
    </reviewItem>
    <reviewItem>
      <errorID>de4e9738-f4bf-4807-aac4-68a4eb1f7182</errorID>
      <errorWord>。</errorWord>
      <group>L1_Grammar</group>
      <groupName>语法问题</groupName>
      <ability>L2_Grammar</ability>
      <abilityName>语法错误</abilityName>
      <candidateList>
        <item>成本。</item>
      </candidateList>
      <explain/>
      <paraID>3DABA2F3</paraID>
      <start>141</start>
      <end>142</end>
      <status>unmodified</status>
      <modifiedWord/>
      <trackRevisions>false</trackRevisions>
    </reviewItem>
    <reviewItem>
      <errorID>96ae272e-45c4-4feb-9799-7d19bb0b1b4b</errorID>
      <errorWord>、未来</errorWord>
      <group>L1_Grammar</group>
      <groupName>语法问题</groupName>
      <ability>L2_Grammar</ability>
      <abilityName>语法错误</abilityName>
      <candidateList>
        <item>、</item>
      </candidateList>
      <explain/>
      <paraID>7C9711E6</paraID>
      <start>16</start>
      <end>19</end>
      <status>unmodified</status>
      <modifiedWord/>
      <trackRevisions>false</trackRevisions>
    </reviewItem>
    <reviewItem>
      <errorID>708c9c13-fca1-4553-9882-aa9623fb056e</errorID>
      <errorWord>，同时</errorWord>
      <group>L1_Word</group>
      <groupName>字词问题</groupName>
      <ability>L2_Typo</ability>
      <abilityName>字词错误</abilityName>
      <candidateList>
        <item>。同时，</item>
      </candidateList>
      <explain/>
      <paraID>75CE1101</paraID>
      <start>38</start>
      <end>41</end>
      <status>unmodified</status>
      <modifiedWord/>
      <trackRevisions>false</trackRevisions>
    </reviewItem>
    <reviewItem>
      <errorID>0e3bee5e-5f7b-40dc-b344-b41a4827add1</errorID>
      <errorWord>四大</errorWord>
      <group>L1_Word</group>
      <groupName>字词问题</groupName>
      <ability>L2_Typo</ability>
      <abilityName>字词错误</abilityName>
      <candidateList>
        <item>这四大</item>
      </candidateList>
      <explain/>
      <paraID>75CE1101</paraID>
      <start>85</start>
      <end>87</end>
      <status>unmodified</status>
      <modifiedWord/>
      <trackRevisions>false</trackRevisions>
    </reviewItem>
    <reviewItem>
      <errorID>d690a80c-4883-4cf1-acc5-e49fc0abc24a</errorID>
      <errorWord>公司</errorWord>
      <group>L1_Punc</group>
      <groupName>标点问题</groupName>
      <ability>L2_Punc</ability>
      <abilityName>标点符号检查</abilityName>
      <candidateList>
        <item>，公司</item>
      </candidateList>
      <explain/>
      <paraID>4D9D7C67</paraID>
      <start>5</start>
      <end>7</end>
      <status>unmodified</status>
      <modifiedWord/>
      <trackRevisions>false</trackRevisions>
    </reviewItem>
    <reviewItem>
      <errorID>8948e589-6878-42d4-baaa-b05c10675294</errorID>
      <errorWord>公司</errorWord>
      <group>L1_Punc</group>
      <groupName>标点问题</groupName>
      <ability>L2_Punc</ability>
      <abilityName>标点符号检查</abilityName>
      <candidateList>
        <item>，公司</item>
      </candidateList>
      <explain/>
      <paraID>4D9D7C67</paraID>
      <start>60</start>
      <end>62</end>
      <status>unmodified</status>
      <modifiedWord/>
      <trackRevisions>false</trackRevisions>
    </reviewItem>
    <reviewItem>
      <errorID>def370b7-2f2b-4ae6-8fd3-e169c2e7ed49</errorID>
      <errorWord>匹配</errorWord>
      <group>L1_Word</group>
      <groupName>字词问题</groupName>
      <ability>L2_Typo</ability>
      <abilityName>字词错误</abilityName>
      <candidateList>
        <item>满足</item>
      </candidateList>
      <explain/>
      <paraID>60123A66</paraID>
      <start>38</start>
      <end>40</end>
      <status>unmodified</status>
      <modifiedWord/>
      <trackRevisions>false</trackRevisions>
    </reviewItem>
    <reviewItem>
      <errorID>c8b71255-0124-484b-9134-eaf6ac25a046</errorID>
      <errorWord>以</errorWord>
      <group>L1_Punc</group>
      <groupName>标点问题</groupName>
      <ability>L2_Punc</ability>
      <abilityName>标点符号检查</abilityName>
      <candidateList>
        <item>，以</item>
      </candidateList>
      <explain/>
      <paraID>2CD7A075</paraID>
      <start>18</start>
      <end>19</end>
      <status>unmodified</status>
      <modifiedWord/>
      <trackRevisions>false</trackRevisions>
    </reviewItem>
    <reviewItem>
      <errorID>69b67e99-9baf-489e-9314-db4ec0b3b796</errorID>
      <errorWord>与</errorWord>
      <group>L1_Word</group>
      <groupName>字词问题</groupName>
      <ability>L2_Typo</ability>
      <abilityName>字词错误</abilityName>
      <candidateList>
        <item>和</item>
      </candidateList>
      <explain/>
      <paraID>2CD7A075</paraID>
      <start>52</start>
      <end>53</end>
      <status>unmodified</status>
      <modifiedWord/>
      <trackRevisions>false</trackRevisions>
    </reviewItem>
    <reviewItem>
      <errorID>c59fb2c2-701f-4684-90c2-b7158d9074ff</errorID>
      <errorWord>维持</errorWord>
      <group>L1_Word</group>
      <groupName>字词问题</groupName>
      <ability>L2_Typo</ability>
      <abilityName>字词错误</abilityName>
      <candidateList>
        <item>保持</item>
      </candidateList>
      <explain/>
      <paraID>2CD7A075</paraID>
      <start>88</start>
      <end>90</end>
      <status>unmodified</status>
      <modifiedWord/>
      <trackRevisions>false</trackRevisions>
    </reviewItem>
    <reviewItem>
      <errorID>9c546303-dd09-4c3f-8977-ed21f00eb1ce</errorID>
      <errorWord>与</errorWord>
      <group>L1_Grammar</group>
      <groupName>语法问题</groupName>
      <ability>L2_Grammar</ability>
      <abilityName>语法错误</abilityName>
      <candidateList>
        <item>进步和与</item>
      </candidateList>
      <explain/>
      <paraID>5E2EDD23</paraID>
      <start>15</start>
      <end>16</end>
      <status>unmodified</status>
      <modifiedWord/>
      <trackRevisions>false</trackRevisions>
    </reviewItem>
    <reviewItem>
      <errorID>5d87ab02-f035-4887-bdd1-b7b8a01bd3eb</errorID>
      <errorWord>深化</errorWord>
      <group>L1_Word</group>
      <groupName>字词问题</groupName>
      <ability>L2_Typo</ability>
      <abilityName>字词错误</abilityName>
      <candidateList>
        <item>的深化</item>
      </candidateList>
      <explain/>
      <paraID>5E2EDD23</paraID>
      <start>20</start>
      <end>22</end>
      <status>unmodified</status>
      <modifiedWord/>
      <trackRevisions>false</trackRevisions>
    </reviewItem>
    <reviewItem>
      <errorID>665f46ba-0729-4d71-93a8-c5d4e1006f75</errorID>
      <errorWord>转向</errorWord>
      <group>L1_Word</group>
      <groupName>字词问题</groupName>
      <ability>L2_Typo</ability>
      <abilityName>字词错误</abilityName>
      <candidateList>
        <item>向</item>
      </candidateList>
      <explain/>
      <paraID>  207E5D</paraID>
      <start>40</start>
      <end>42</end>
      <status>unmodified</status>
      <modifiedWord/>
      <trackRevisions>false</trackRevisions>
    </reviewItem>
    <reviewItem>
      <errorID>026f52c9-48b0-44dc-9436-02ca599ba83c</errorID>
      <errorWord>；</errorWord>
      <group>L1_Grammar</group>
      <groupName>语法问题</groupName>
      <ability>L2_Grammar</ability>
      <abilityName>语法错误</abilityName>
      <candidateList>
        <item>转变；</item>
      </candidateList>
      <explain/>
      <paraID>  207E5D</paraID>
      <start>46</start>
      <end>47</end>
      <status>unmodified</status>
      <modifiedWord/>
      <trackRevisions>false</trackRevisions>
    </reviewItem>
    <reviewItem>
      <errorID>315da0fe-c343-4a11-b0b2-f4529739d14d</errorID>
      <errorWord>正向</errorWord>
      <group>L1_Word</group>
      <groupName>字词问题</groupName>
      <ability>L2_Typo</ability>
      <abilityName>字词错误</abilityName>
      <candidateList>
        <item>正朝着</item>
      </candidateList>
      <explain/>
      <paraID>  207E5D</paraID>
      <start>64</start>
      <end>66</end>
      <status>unmodified</status>
      <modifiedWord/>
      <trackRevisions>false</trackRevisions>
    </reviewItem>
    <reviewItem>
      <errorID>ce465558-a0ec-4cbd-bcfa-ae6ff2d03316</errorID>
      <errorWord>期</errorWord>
      <group>L1_Word</group>
      <groupName>字词问题</groupName>
      <ability>L2_Typo</ability>
      <abilityName>字词错误</abilityName>
      <candidateList>
        <item>阶段</item>
      </candidateList>
      <explain/>
      <paraID>799C6FDA</paraID>
      <start>17</start>
      <end>18</end>
      <status>unmodified</status>
      <modifiedWord/>
      <trackRevisions>false</trackRevisions>
    </reviewItem>
    <reviewItem>
      <errorID>c2c443fa-e6fb-40f8-93c9-222601b5f819</errorID>
      <errorWord>了具备</errorWord>
      <group>L1_Grammar</group>
      <groupName>语法问题</groupName>
      <ability>L2_Grammar</ability>
      <abilityName>语法错误</abilityName>
      <candidateList>
        <item>了</item>
      </candidateList>
      <explain/>
      <paraID> B8B1E3F</paraID>
      <start>12</start>
      <end>15</end>
      <status>unmodified</status>
      <modifiedWord/>
      <trackRevisions>false</trackRevisions>
    </reviewItem>
    <reviewItem>
      <errorID>99e2e9be-4592-41a4-9b7c-7335695da810</errorID>
      <errorWord>管理员工</errorWord>
      <group>L1_Word</group>
      <groupName>字词问题</groupName>
      <ability>L2_Typo</ability>
      <abilityName>字词错误</abilityName>
      <candidateList>
        <item>管理人员</item>
      </candidateList>
      <explain/>
      <paraID>73141AEC</paraID>
      <start>21</start>
      <end>25</end>
      <status>unmodified</status>
      <modifiedWord/>
      <trackRevisions>false</trackRevisions>
    </reviewItem>
    <reviewItem>
      <errorID>ca6364e2-d602-4b67-9088-7cee7de3f033</errorID>
      <errorWord>公司</errorWord>
      <group>L1_Punc</group>
      <groupName>标点问题</groupName>
      <ability>L2_Punc</ability>
      <abilityName>标点符号检查</abilityName>
      <candidateList>
        <item>，公司</item>
      </candidateList>
      <explain/>
      <paraID>6E81D221</paraID>
      <start>5</start>
      <end>7</end>
      <status>unmodified</status>
      <modifiedWord/>
      <trackRevisions>false</trackRevisions>
    </reviewItem>
    <reviewItem>
      <errorID>5dee134f-eb71-41ae-b0e0-86c7cc8e30e0</errorID>
      <errorWord>适配</errorWord>
      <group>L1_Word</group>
      <groupName>字词问题</groupName>
      <ability>L2_Typo</ability>
      <abilityName>字词错误</abilityName>
      <candidateList>
        <item>满足</item>
      </candidateList>
      <explain/>
      <paraID>6E81D221</paraID>
      <start>47</start>
      <end>49</end>
      <status>unmodified</status>
      <modifiedWord/>
      <trackRevisions>false</trackRevisions>
    </reviewItem>
    <reviewItem>
      <errorID>ed12ffeb-8c6e-4282-90f6-319b1872d2cd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74141C02</paraID>
      <start>33</start>
      <end>34</end>
      <status>unmodified</status>
      <modifiedWord/>
      <trackRevisions>false</trackRevisions>
    </reviewItem>
    <reviewItem>
      <errorID>6d84640a-195f-4acf-bace-ab01862884d0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472526D5</paraID>
      <start>29</start>
      <end>30</end>
      <status>unmodified</status>
      <modifiedWord/>
      <trackRevisions>false</trackRevisions>
    </reviewItem>
    <reviewItem>
      <errorID>10f7f359-241b-4c74-9365-8d3f903fd167</errorID>
      <errorWord>T</errorWord>
      <group>L1_Word</group>
      <groupName>字词问题</groupName>
      <ability>L2_Typo</ability>
      <abilityName>字词错误</abilityName>
      <candidateList>
        <item>与T</item>
      </candidateList>
      <explain/>
      <paraID>6AC3C60D</paraID>
      <start>5</start>
      <end>6</end>
      <status>unmodified</status>
      <modifiedWord/>
      <trackRevisions>false</trackRevisions>
    </reviewItem>
    <reviewItem>
      <errorID>ce3ed363-536d-4a76-8d92-641b0cc9dd88</errorID>
      <errorWord>和</errorWord>
      <group>L1_Word</group>
      <groupName>字词问题</groupName>
      <ability>L2_Typo</ability>
      <abilityName>字词错误</abilityName>
      <candidateList>
        <item>与</item>
      </candidateList>
      <explain/>
      <paraID>7391CE0B</paraID>
      <start>2</start>
      <end>3</end>
      <status>unmodified</status>
      <modifiedWord/>
      <trackRevisions>false</trackRevisions>
    </reviewItem>
    <reviewItem>
      <errorID>96fa1a10-d804-4202-9cbc-37a13b9040cf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392FA5C4</paraID>
      <start>75</start>
      <end>76</end>
      <status>unmodified</status>
      <modifiedWord/>
      <trackRevisions>false</trackRevisions>
    </reviewItem>
    <reviewItem>
      <errorID>742312d3-e796-4c2f-a2b0-a2d16851506f</errorID>
      <errorWord>泄露</errorWord>
      <group>L1_Word</group>
      <groupName>字词问题</groupName>
      <ability>L2_Typo</ability>
      <abilityName>字词错误</abilityName>
      <candidateList>
        <item>泄漏</item>
      </candidateList>
      <explain/>
      <paraID>391E48F9</paraID>
      <start>36</start>
      <end>38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023C290-7635-4523-B806-045854577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C25A89-B08F-4CEE-9165-634536624366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754</Words>
  <Characters>4302</Characters>
  <Application>Microsoft Office Word</Application>
  <DocSecurity>0</DocSecurity>
  <Lines>35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13822</cp:lastModifiedBy>
  <cp:revision>27</cp:revision>
  <dcterms:created xsi:type="dcterms:W3CDTF">2025-04-17T03:54:00Z</dcterms:created>
  <dcterms:modified xsi:type="dcterms:W3CDTF">2026-04-28T07:41:00Z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7BF09A2BC0ED4C13BC4E9A86A2912631_12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