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F7B6" w14:textId="6A36FB12" w:rsidR="00E36593"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601615                         </w:t>
      </w:r>
      <w:r w:rsidR="00833A51">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明阳智能</w:t>
      </w:r>
    </w:p>
    <w:p w14:paraId="2D3A2344" w14:textId="77777777" w:rsidR="0012399C"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明阳智慧能源集团股份公司</w:t>
      </w:r>
    </w:p>
    <w:p w14:paraId="2326F290" w14:textId="567A4F1E" w:rsidR="00E36593"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283431F1" w14:textId="7FA604B1" w:rsidR="00E36593" w:rsidRDefault="00000000">
      <w:pPr>
        <w:spacing w:line="400" w:lineRule="exact"/>
        <w:rPr>
          <w:bCs/>
          <w:iCs/>
          <w:color w:val="000000"/>
          <w:sz w:val="24"/>
        </w:rPr>
      </w:pPr>
      <w:r>
        <w:rPr>
          <w:rFonts w:ascii="宋体" w:hAnsi="宋体" w:hint="eastAsia"/>
          <w:bCs/>
          <w:iCs/>
          <w:color w:val="000000"/>
          <w:sz w:val="24"/>
        </w:rPr>
        <w:t xml:space="preserve">                                                     </w:t>
      </w:r>
      <w:r w:rsidR="0012399C" w:rsidRPr="0012399C">
        <w:rPr>
          <w:rFonts w:ascii="宋体" w:hAnsi="宋体" w:hint="eastAsia"/>
          <w:bCs/>
          <w:iCs/>
          <w:color w:val="000000"/>
          <w:sz w:val="24"/>
        </w:rPr>
        <w:t>编号：202</w:t>
      </w:r>
      <w:r w:rsidR="00FA7E6E">
        <w:rPr>
          <w:rFonts w:ascii="宋体" w:hAnsi="宋体" w:hint="eastAsia"/>
          <w:bCs/>
          <w:iCs/>
          <w:color w:val="000000"/>
          <w:sz w:val="24"/>
        </w:rPr>
        <w:t>6</w:t>
      </w:r>
      <w:r w:rsidR="0012399C" w:rsidRPr="0012399C">
        <w:rPr>
          <w:rFonts w:ascii="宋体" w:hAnsi="宋体" w:hint="eastAsia"/>
          <w:bCs/>
          <w:iCs/>
          <w:color w:val="000000"/>
          <w:sz w:val="24"/>
        </w:rPr>
        <w:t>-00</w:t>
      </w:r>
      <w:r w:rsidR="00FA7E6E">
        <w:rPr>
          <w:rFonts w:ascii="宋体" w:hAnsi="宋体" w:hint="eastAsia"/>
          <w:bCs/>
          <w:iCs/>
          <w:color w:val="000000"/>
          <w:sz w:val="24"/>
        </w:rPr>
        <w:t>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36593" w14:paraId="05D33360" w14:textId="77777777">
        <w:tc>
          <w:tcPr>
            <w:tcW w:w="1908" w:type="dxa"/>
            <w:tcBorders>
              <w:top w:val="single" w:sz="4" w:space="0" w:color="auto"/>
              <w:left w:val="single" w:sz="4" w:space="0" w:color="auto"/>
              <w:bottom w:val="single" w:sz="4" w:space="0" w:color="auto"/>
              <w:right w:val="single" w:sz="4" w:space="0" w:color="auto"/>
            </w:tcBorders>
          </w:tcPr>
          <w:p w14:paraId="756CA3CB" w14:textId="77777777" w:rsidR="00E36593" w:rsidRDefault="00000000">
            <w:pPr>
              <w:spacing w:line="420" w:lineRule="exact"/>
              <w:rPr>
                <w:bCs/>
                <w:iCs/>
                <w:color w:val="000000"/>
                <w:kern w:val="0"/>
                <w:sz w:val="24"/>
              </w:rPr>
            </w:pPr>
            <w:r>
              <w:rPr>
                <w:rFonts w:hAnsi="宋体"/>
                <w:bCs/>
                <w:iCs/>
                <w:color w:val="000000"/>
                <w:kern w:val="0"/>
                <w:sz w:val="24"/>
              </w:rPr>
              <w:t>投资者关系活动类别</w:t>
            </w:r>
          </w:p>
          <w:p w14:paraId="63D49A41" w14:textId="77777777" w:rsidR="00E36593" w:rsidRDefault="00E3659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E2EA506" w14:textId="77777777" w:rsidR="00E36593"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E7DC939" w14:textId="222FCC12" w:rsidR="00E3659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B16F86">
              <w:rPr>
                <w:bCs/>
                <w:iCs/>
                <w:color w:val="000000"/>
                <w:kern w:val="0"/>
                <w:sz w:val="24"/>
              </w:rPr>
              <w:t>□</w:t>
            </w:r>
            <w:r>
              <w:rPr>
                <w:rFonts w:hint="eastAsia"/>
                <w:bCs/>
                <w:iCs/>
                <w:color w:val="000000"/>
                <w:kern w:val="0"/>
                <w:sz w:val="24"/>
              </w:rPr>
              <w:t xml:space="preserve"> </w:t>
            </w:r>
            <w:r>
              <w:rPr>
                <w:rFonts w:hAnsi="宋体"/>
                <w:kern w:val="0"/>
                <w:sz w:val="24"/>
              </w:rPr>
              <w:t>业绩说明会</w:t>
            </w:r>
          </w:p>
          <w:p w14:paraId="0A9D54DF" w14:textId="77777777" w:rsidR="00E3659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0CD9539" w14:textId="77777777" w:rsidR="00E36593"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9E29DF8" w14:textId="66B9D702" w:rsidR="00E36593" w:rsidRDefault="00B16F86">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hint="eastAsia"/>
                <w:kern w:val="0"/>
                <w:sz w:val="24"/>
                <w:u w:val="single"/>
              </w:rPr>
              <w:t>业绩交流会</w:t>
            </w:r>
            <w:r>
              <w:rPr>
                <w:rFonts w:hAnsi="宋体"/>
                <w:kern w:val="0"/>
                <w:sz w:val="24"/>
                <w:u w:val="single"/>
              </w:rPr>
              <w:t>）</w:t>
            </w:r>
          </w:p>
        </w:tc>
      </w:tr>
      <w:tr w:rsidR="00E36593" w14:paraId="4E50EC49" w14:textId="77777777">
        <w:tc>
          <w:tcPr>
            <w:tcW w:w="1908" w:type="dxa"/>
            <w:tcBorders>
              <w:top w:val="single" w:sz="4" w:space="0" w:color="auto"/>
              <w:left w:val="single" w:sz="4" w:space="0" w:color="auto"/>
              <w:bottom w:val="single" w:sz="4" w:space="0" w:color="auto"/>
              <w:right w:val="single" w:sz="4" w:space="0" w:color="auto"/>
            </w:tcBorders>
          </w:tcPr>
          <w:p w14:paraId="12669C28" w14:textId="77777777" w:rsidR="00E36593"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05815971" w14:textId="33E09413" w:rsidR="00E36593" w:rsidRDefault="00B16F86" w:rsidP="003A3592">
            <w:pPr>
              <w:spacing w:line="420" w:lineRule="exact"/>
              <w:rPr>
                <w:bCs/>
                <w:iCs/>
                <w:color w:val="000000"/>
                <w:sz w:val="24"/>
                <w:lang w:val="en-GB"/>
              </w:rPr>
            </w:pPr>
            <w:r>
              <w:rPr>
                <w:rFonts w:hint="eastAsia"/>
                <w:bCs/>
                <w:iCs/>
                <w:color w:val="000000"/>
                <w:sz w:val="24"/>
                <w:lang w:val="en-GB"/>
              </w:rPr>
              <w:t>长江证券、</w:t>
            </w:r>
            <w:r w:rsidR="003C200B">
              <w:rPr>
                <w:rFonts w:hint="eastAsia"/>
                <w:bCs/>
                <w:iCs/>
                <w:color w:val="000000"/>
                <w:sz w:val="24"/>
                <w:lang w:val="en-GB"/>
              </w:rPr>
              <w:t>中金公司、</w:t>
            </w:r>
            <w:r w:rsidR="003C200B" w:rsidRPr="003C200B">
              <w:rPr>
                <w:rFonts w:hint="eastAsia"/>
                <w:bCs/>
                <w:iCs/>
                <w:color w:val="000000"/>
                <w:sz w:val="24"/>
                <w:lang w:val="en-GB"/>
              </w:rPr>
              <w:t>摩根大通</w:t>
            </w:r>
            <w:r w:rsidR="003C200B">
              <w:rPr>
                <w:rFonts w:hint="eastAsia"/>
                <w:bCs/>
                <w:iCs/>
                <w:color w:val="000000"/>
                <w:sz w:val="24"/>
                <w:lang w:val="en-GB"/>
              </w:rPr>
              <w:t>、</w:t>
            </w:r>
            <w:r w:rsidR="003C200B" w:rsidRPr="003C200B">
              <w:rPr>
                <w:rFonts w:hint="eastAsia"/>
                <w:bCs/>
                <w:iCs/>
                <w:color w:val="000000"/>
                <w:sz w:val="24"/>
                <w:lang w:val="en-GB"/>
              </w:rPr>
              <w:t>富国基金</w:t>
            </w:r>
            <w:r w:rsidR="003C200B">
              <w:rPr>
                <w:rFonts w:hint="eastAsia"/>
                <w:bCs/>
                <w:iCs/>
                <w:color w:val="000000"/>
                <w:sz w:val="24"/>
                <w:lang w:val="en-GB"/>
              </w:rPr>
              <w:t>、</w:t>
            </w:r>
            <w:r w:rsidR="003C200B" w:rsidRPr="003C200B">
              <w:rPr>
                <w:rFonts w:hint="eastAsia"/>
                <w:bCs/>
                <w:iCs/>
                <w:color w:val="000000"/>
                <w:sz w:val="24"/>
                <w:lang w:val="en-GB"/>
              </w:rPr>
              <w:t>南方基金</w:t>
            </w:r>
            <w:r w:rsidR="003C200B">
              <w:rPr>
                <w:rFonts w:hint="eastAsia"/>
                <w:bCs/>
                <w:iCs/>
                <w:color w:val="000000"/>
                <w:sz w:val="24"/>
                <w:lang w:val="en-GB"/>
              </w:rPr>
              <w:t>、</w:t>
            </w:r>
            <w:r w:rsidR="003C200B" w:rsidRPr="003C200B">
              <w:rPr>
                <w:rFonts w:hint="eastAsia"/>
                <w:bCs/>
                <w:iCs/>
                <w:color w:val="000000"/>
                <w:sz w:val="24"/>
                <w:lang w:val="en-GB"/>
              </w:rPr>
              <w:t>华泰柏瑞</w:t>
            </w:r>
            <w:r w:rsidR="003C200B">
              <w:rPr>
                <w:rFonts w:hint="eastAsia"/>
                <w:bCs/>
                <w:iCs/>
                <w:color w:val="000000"/>
                <w:sz w:val="24"/>
                <w:lang w:val="en-GB"/>
              </w:rPr>
              <w:t>基金、</w:t>
            </w:r>
            <w:r w:rsidR="003C200B" w:rsidRPr="003C200B">
              <w:rPr>
                <w:rFonts w:hint="eastAsia"/>
                <w:bCs/>
                <w:iCs/>
                <w:color w:val="000000"/>
                <w:sz w:val="24"/>
                <w:lang w:val="en-GB"/>
              </w:rPr>
              <w:t>平安养老保险</w:t>
            </w:r>
            <w:r w:rsidR="003C200B">
              <w:rPr>
                <w:rFonts w:hint="eastAsia"/>
                <w:bCs/>
                <w:iCs/>
                <w:color w:val="000000"/>
                <w:sz w:val="24"/>
                <w:lang w:val="en-GB"/>
              </w:rPr>
              <w:t>、</w:t>
            </w:r>
            <w:r w:rsidR="003C200B" w:rsidRPr="003C200B">
              <w:rPr>
                <w:rFonts w:hint="eastAsia"/>
                <w:bCs/>
                <w:iCs/>
                <w:color w:val="000000"/>
                <w:sz w:val="24"/>
                <w:lang w:val="en-GB"/>
              </w:rPr>
              <w:t>汇丰晋信</w:t>
            </w:r>
            <w:r w:rsidR="003C200B">
              <w:rPr>
                <w:rFonts w:hint="eastAsia"/>
                <w:bCs/>
                <w:iCs/>
                <w:color w:val="000000"/>
                <w:sz w:val="24"/>
                <w:lang w:val="en-GB"/>
              </w:rPr>
              <w:t>、</w:t>
            </w:r>
            <w:r w:rsidR="003C200B" w:rsidRPr="003C200B">
              <w:rPr>
                <w:rFonts w:hint="eastAsia"/>
                <w:bCs/>
                <w:iCs/>
                <w:color w:val="000000"/>
                <w:sz w:val="24"/>
                <w:lang w:val="en-GB"/>
              </w:rPr>
              <w:t>中信证券</w:t>
            </w:r>
            <w:r w:rsidR="003C200B">
              <w:rPr>
                <w:rFonts w:hint="eastAsia"/>
                <w:bCs/>
                <w:iCs/>
                <w:color w:val="000000"/>
                <w:sz w:val="24"/>
                <w:lang w:val="en-GB"/>
              </w:rPr>
              <w:t>、</w:t>
            </w:r>
            <w:r w:rsidR="003C200B" w:rsidRPr="003C200B">
              <w:rPr>
                <w:rFonts w:hint="eastAsia"/>
                <w:bCs/>
                <w:iCs/>
                <w:color w:val="000000"/>
                <w:sz w:val="24"/>
                <w:lang w:val="en-GB"/>
              </w:rPr>
              <w:t>国联基金</w:t>
            </w:r>
            <w:r w:rsidR="003C200B">
              <w:rPr>
                <w:rFonts w:hint="eastAsia"/>
                <w:bCs/>
                <w:iCs/>
                <w:color w:val="000000"/>
                <w:sz w:val="24"/>
                <w:lang w:val="en-GB"/>
              </w:rPr>
              <w:t>、</w:t>
            </w:r>
            <w:r w:rsidR="003C200B" w:rsidRPr="003C200B">
              <w:rPr>
                <w:rFonts w:hint="eastAsia"/>
                <w:bCs/>
                <w:iCs/>
                <w:color w:val="000000"/>
                <w:sz w:val="24"/>
                <w:lang w:val="en-GB"/>
              </w:rPr>
              <w:t>花旗环球金融</w:t>
            </w:r>
            <w:r w:rsidR="003C200B">
              <w:rPr>
                <w:rFonts w:hint="eastAsia"/>
                <w:bCs/>
                <w:iCs/>
                <w:color w:val="000000"/>
                <w:sz w:val="24"/>
                <w:lang w:val="en-GB"/>
              </w:rPr>
              <w:t>、</w:t>
            </w:r>
            <w:r w:rsidR="003C200B" w:rsidRPr="003C200B">
              <w:rPr>
                <w:rFonts w:hint="eastAsia"/>
                <w:bCs/>
                <w:iCs/>
                <w:color w:val="000000"/>
                <w:sz w:val="24"/>
                <w:lang w:val="en-GB"/>
              </w:rPr>
              <w:t>兴业证券</w:t>
            </w:r>
            <w:r w:rsidR="003C200B">
              <w:rPr>
                <w:rFonts w:hint="eastAsia"/>
                <w:bCs/>
                <w:iCs/>
                <w:color w:val="000000"/>
                <w:sz w:val="24"/>
                <w:lang w:val="en-GB"/>
              </w:rPr>
              <w:t>、</w:t>
            </w:r>
            <w:r w:rsidR="003C200B" w:rsidRPr="003C200B">
              <w:rPr>
                <w:rFonts w:hint="eastAsia"/>
                <w:bCs/>
                <w:iCs/>
                <w:color w:val="000000"/>
                <w:sz w:val="24"/>
                <w:lang w:val="en-GB"/>
              </w:rPr>
              <w:t>国信证券</w:t>
            </w:r>
            <w:r w:rsidR="003C200B">
              <w:rPr>
                <w:rFonts w:hint="eastAsia"/>
                <w:bCs/>
                <w:iCs/>
                <w:color w:val="000000"/>
                <w:sz w:val="24"/>
                <w:lang w:val="en-GB"/>
              </w:rPr>
              <w:t>、</w:t>
            </w:r>
            <w:r w:rsidR="003C200B" w:rsidRPr="003C200B">
              <w:rPr>
                <w:rFonts w:hint="eastAsia"/>
                <w:bCs/>
                <w:iCs/>
                <w:color w:val="000000"/>
                <w:sz w:val="24"/>
                <w:lang w:val="en-GB"/>
              </w:rPr>
              <w:t>彭博行业研究</w:t>
            </w:r>
            <w:r w:rsidR="003C200B">
              <w:rPr>
                <w:rFonts w:hint="eastAsia"/>
                <w:bCs/>
                <w:iCs/>
                <w:color w:val="000000"/>
                <w:sz w:val="24"/>
                <w:lang w:val="en-GB"/>
              </w:rPr>
              <w:t>、</w:t>
            </w:r>
            <w:r w:rsidR="003C200B" w:rsidRPr="003C200B">
              <w:rPr>
                <w:rFonts w:hint="eastAsia"/>
                <w:bCs/>
                <w:iCs/>
                <w:color w:val="000000"/>
                <w:sz w:val="24"/>
                <w:lang w:val="en-GB"/>
              </w:rPr>
              <w:t>国金证券</w:t>
            </w:r>
            <w:r w:rsidR="003C200B">
              <w:rPr>
                <w:rFonts w:hint="eastAsia"/>
                <w:bCs/>
                <w:iCs/>
                <w:color w:val="000000"/>
                <w:sz w:val="24"/>
                <w:lang w:val="en-GB"/>
              </w:rPr>
              <w:t>、</w:t>
            </w:r>
            <w:r w:rsidR="003C200B" w:rsidRPr="003C200B">
              <w:rPr>
                <w:rFonts w:hint="eastAsia"/>
                <w:bCs/>
                <w:iCs/>
                <w:color w:val="000000"/>
                <w:sz w:val="24"/>
                <w:lang w:val="en-GB"/>
              </w:rPr>
              <w:t>美國銀行集團</w:t>
            </w:r>
            <w:r w:rsidR="003C200B">
              <w:rPr>
                <w:rFonts w:hint="eastAsia"/>
                <w:bCs/>
                <w:iCs/>
                <w:color w:val="000000"/>
                <w:sz w:val="24"/>
                <w:lang w:val="en-GB"/>
              </w:rPr>
              <w:t>、</w:t>
            </w:r>
            <w:r w:rsidR="003C200B" w:rsidRPr="003C200B">
              <w:rPr>
                <w:rFonts w:hint="eastAsia"/>
                <w:bCs/>
                <w:iCs/>
                <w:color w:val="000000"/>
                <w:sz w:val="24"/>
                <w:lang w:val="en-GB"/>
              </w:rPr>
              <w:t>中国人保资产管理</w:t>
            </w:r>
            <w:r w:rsidR="003C200B">
              <w:rPr>
                <w:rFonts w:hint="eastAsia"/>
                <w:bCs/>
                <w:iCs/>
                <w:color w:val="000000"/>
                <w:sz w:val="24"/>
                <w:lang w:val="en-GB"/>
              </w:rPr>
              <w:t>、</w:t>
            </w:r>
            <w:r w:rsidR="003C200B" w:rsidRPr="003C200B">
              <w:rPr>
                <w:rFonts w:hint="eastAsia"/>
                <w:bCs/>
                <w:iCs/>
                <w:color w:val="000000"/>
                <w:sz w:val="24"/>
                <w:lang w:val="en-GB"/>
              </w:rPr>
              <w:t>银华基金</w:t>
            </w:r>
            <w:r w:rsidR="003C200B">
              <w:rPr>
                <w:rFonts w:hint="eastAsia"/>
                <w:bCs/>
                <w:iCs/>
                <w:color w:val="000000"/>
                <w:sz w:val="24"/>
                <w:lang w:val="en-GB"/>
              </w:rPr>
              <w:t>、</w:t>
            </w:r>
            <w:r w:rsidR="003C200B" w:rsidRPr="003C200B">
              <w:rPr>
                <w:rFonts w:hint="eastAsia"/>
                <w:bCs/>
                <w:iCs/>
                <w:color w:val="000000"/>
                <w:sz w:val="24"/>
                <w:lang w:val="en-GB"/>
              </w:rPr>
              <w:t>兴业基金</w:t>
            </w:r>
            <w:r w:rsidR="003C200B">
              <w:rPr>
                <w:rFonts w:hint="eastAsia"/>
                <w:bCs/>
                <w:iCs/>
                <w:color w:val="000000"/>
                <w:sz w:val="24"/>
                <w:lang w:val="en-GB"/>
              </w:rPr>
              <w:t>、</w:t>
            </w:r>
            <w:r w:rsidR="003C200B" w:rsidRPr="003C200B">
              <w:rPr>
                <w:rFonts w:hint="eastAsia"/>
                <w:bCs/>
                <w:iCs/>
                <w:color w:val="000000"/>
                <w:sz w:val="24"/>
                <w:lang w:val="en-GB"/>
              </w:rPr>
              <w:t>华创证券</w:t>
            </w:r>
            <w:r w:rsidR="003C200B">
              <w:rPr>
                <w:rFonts w:hint="eastAsia"/>
                <w:bCs/>
                <w:iCs/>
                <w:color w:val="000000"/>
                <w:sz w:val="24"/>
                <w:lang w:val="en-GB"/>
              </w:rPr>
              <w:t>、</w:t>
            </w:r>
            <w:r w:rsidR="003C200B" w:rsidRPr="003C200B">
              <w:rPr>
                <w:rFonts w:hint="eastAsia"/>
                <w:bCs/>
                <w:iCs/>
                <w:color w:val="000000"/>
                <w:sz w:val="24"/>
                <w:lang w:val="en-GB"/>
              </w:rPr>
              <w:t>摩根士丹利</w:t>
            </w:r>
            <w:r w:rsidR="003C200B">
              <w:rPr>
                <w:rFonts w:hint="eastAsia"/>
                <w:bCs/>
                <w:iCs/>
                <w:color w:val="000000"/>
                <w:sz w:val="24"/>
                <w:lang w:val="en-GB"/>
              </w:rPr>
              <w:t>、</w:t>
            </w:r>
            <w:r w:rsidR="003C200B" w:rsidRPr="003C200B">
              <w:rPr>
                <w:rFonts w:hint="eastAsia"/>
                <w:bCs/>
                <w:iCs/>
                <w:color w:val="000000"/>
                <w:sz w:val="24"/>
                <w:lang w:val="en-GB"/>
              </w:rPr>
              <w:t>三峡资本</w:t>
            </w:r>
            <w:r w:rsidR="003C200B">
              <w:rPr>
                <w:rFonts w:hint="eastAsia"/>
                <w:bCs/>
                <w:iCs/>
                <w:color w:val="000000"/>
                <w:sz w:val="24"/>
                <w:lang w:val="en-GB"/>
              </w:rPr>
              <w:t>、</w:t>
            </w:r>
            <w:r w:rsidR="003C200B" w:rsidRPr="003C200B">
              <w:rPr>
                <w:rFonts w:hint="eastAsia"/>
                <w:bCs/>
                <w:iCs/>
                <w:color w:val="000000"/>
                <w:sz w:val="24"/>
                <w:lang w:val="en-GB"/>
              </w:rPr>
              <w:t>太平资产管理</w:t>
            </w:r>
            <w:r w:rsidR="003C200B">
              <w:rPr>
                <w:rFonts w:hint="eastAsia"/>
                <w:bCs/>
                <w:iCs/>
                <w:color w:val="000000"/>
                <w:sz w:val="24"/>
                <w:lang w:val="en-GB"/>
              </w:rPr>
              <w:t>、</w:t>
            </w:r>
            <w:r w:rsidR="003C200B" w:rsidRPr="003C200B">
              <w:rPr>
                <w:rFonts w:hint="eastAsia"/>
                <w:bCs/>
                <w:iCs/>
                <w:color w:val="000000"/>
                <w:sz w:val="24"/>
                <w:lang w:val="en-GB"/>
              </w:rPr>
              <w:t>西部证券</w:t>
            </w:r>
            <w:r w:rsidR="003C200B">
              <w:rPr>
                <w:rFonts w:hint="eastAsia"/>
                <w:bCs/>
                <w:iCs/>
                <w:color w:val="000000"/>
                <w:sz w:val="24"/>
                <w:lang w:val="en-GB"/>
              </w:rPr>
              <w:t>、</w:t>
            </w:r>
            <w:r w:rsidR="003A3592" w:rsidRPr="003A3592">
              <w:rPr>
                <w:rFonts w:hint="eastAsia"/>
                <w:bCs/>
                <w:iCs/>
                <w:color w:val="000000"/>
                <w:sz w:val="24"/>
                <w:lang w:val="en-GB"/>
              </w:rPr>
              <w:t>博时基金</w:t>
            </w:r>
            <w:r w:rsidR="003A3592">
              <w:rPr>
                <w:rFonts w:hint="eastAsia"/>
                <w:bCs/>
                <w:iCs/>
                <w:color w:val="000000"/>
                <w:sz w:val="24"/>
                <w:lang w:val="en-GB"/>
              </w:rPr>
              <w:t>、</w:t>
            </w:r>
            <w:r w:rsidR="003A3592" w:rsidRPr="003A3592">
              <w:rPr>
                <w:rFonts w:hint="eastAsia"/>
                <w:bCs/>
                <w:iCs/>
                <w:color w:val="000000"/>
                <w:sz w:val="24"/>
                <w:lang w:val="en-GB"/>
              </w:rPr>
              <w:t>太平洋保险资产</w:t>
            </w:r>
            <w:r w:rsidR="003A3592">
              <w:rPr>
                <w:rFonts w:hint="eastAsia"/>
                <w:bCs/>
                <w:iCs/>
                <w:color w:val="000000"/>
                <w:sz w:val="24"/>
                <w:lang w:val="en-GB"/>
              </w:rPr>
              <w:t>、</w:t>
            </w:r>
            <w:r w:rsidR="003A3592" w:rsidRPr="003A3592">
              <w:rPr>
                <w:rFonts w:hint="eastAsia"/>
                <w:bCs/>
                <w:iCs/>
                <w:color w:val="000000"/>
                <w:sz w:val="24"/>
                <w:lang w:val="en-GB"/>
              </w:rPr>
              <w:t>银河证券</w:t>
            </w:r>
            <w:r w:rsidR="003A3592">
              <w:rPr>
                <w:rFonts w:hint="eastAsia"/>
                <w:bCs/>
                <w:iCs/>
                <w:color w:val="000000"/>
                <w:sz w:val="24"/>
                <w:lang w:val="en-GB"/>
              </w:rPr>
              <w:t>、</w:t>
            </w:r>
            <w:r w:rsidR="003A3592" w:rsidRPr="003A3592">
              <w:rPr>
                <w:rFonts w:hint="eastAsia"/>
                <w:bCs/>
                <w:iCs/>
                <w:color w:val="000000"/>
                <w:sz w:val="24"/>
                <w:lang w:val="en-GB"/>
              </w:rPr>
              <w:t>天风证券</w:t>
            </w:r>
            <w:r w:rsidR="003A3592">
              <w:rPr>
                <w:rFonts w:hint="eastAsia"/>
                <w:bCs/>
                <w:iCs/>
                <w:color w:val="000000"/>
                <w:sz w:val="24"/>
                <w:lang w:val="en-GB"/>
              </w:rPr>
              <w:t>、东吴证券</w:t>
            </w:r>
            <w:r w:rsidR="00F4592F">
              <w:rPr>
                <w:rFonts w:hint="eastAsia"/>
                <w:bCs/>
                <w:iCs/>
                <w:color w:val="000000"/>
                <w:sz w:val="24"/>
                <w:lang w:val="en-GB"/>
              </w:rPr>
              <w:t>等</w:t>
            </w:r>
          </w:p>
        </w:tc>
      </w:tr>
      <w:tr w:rsidR="00E36593" w14:paraId="08B18AD3" w14:textId="77777777">
        <w:tc>
          <w:tcPr>
            <w:tcW w:w="1908" w:type="dxa"/>
            <w:tcBorders>
              <w:top w:val="single" w:sz="4" w:space="0" w:color="auto"/>
              <w:left w:val="single" w:sz="4" w:space="0" w:color="auto"/>
              <w:bottom w:val="single" w:sz="4" w:space="0" w:color="auto"/>
              <w:right w:val="single" w:sz="4" w:space="0" w:color="auto"/>
            </w:tcBorders>
          </w:tcPr>
          <w:p w14:paraId="11859B1E" w14:textId="77777777" w:rsidR="00E36593"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D9C8545" w14:textId="2DD7C0BD" w:rsidR="00E36593" w:rsidRDefault="00000000">
            <w:pPr>
              <w:spacing w:line="420" w:lineRule="exact"/>
              <w:rPr>
                <w:bCs/>
                <w:iCs/>
                <w:color w:val="000000"/>
                <w:sz w:val="24"/>
              </w:rPr>
            </w:pPr>
            <w:r>
              <w:rPr>
                <w:bCs/>
                <w:iCs/>
                <w:color w:val="000000"/>
                <w:sz w:val="24"/>
              </w:rPr>
              <w:t>202</w:t>
            </w:r>
            <w:r w:rsidR="00FA7E6E">
              <w:rPr>
                <w:rFonts w:hint="eastAsia"/>
                <w:bCs/>
                <w:iCs/>
                <w:color w:val="000000"/>
                <w:sz w:val="24"/>
              </w:rPr>
              <w:t>6</w:t>
            </w:r>
            <w:r>
              <w:rPr>
                <w:bCs/>
                <w:iCs/>
                <w:color w:val="000000"/>
                <w:sz w:val="24"/>
              </w:rPr>
              <w:t>年</w:t>
            </w:r>
            <w:r w:rsidR="00FA7E6E">
              <w:rPr>
                <w:rFonts w:hint="eastAsia"/>
                <w:bCs/>
                <w:iCs/>
                <w:color w:val="000000"/>
                <w:sz w:val="24"/>
              </w:rPr>
              <w:t>4</w:t>
            </w:r>
            <w:r>
              <w:rPr>
                <w:bCs/>
                <w:iCs/>
                <w:color w:val="000000"/>
                <w:sz w:val="24"/>
              </w:rPr>
              <w:t>月</w:t>
            </w:r>
            <w:r w:rsidR="00FA7E6E">
              <w:rPr>
                <w:rFonts w:hint="eastAsia"/>
                <w:bCs/>
                <w:iCs/>
                <w:color w:val="000000"/>
                <w:sz w:val="24"/>
              </w:rPr>
              <w:t>29</w:t>
            </w:r>
            <w:r>
              <w:rPr>
                <w:bCs/>
                <w:iCs/>
                <w:color w:val="000000"/>
                <w:sz w:val="24"/>
              </w:rPr>
              <w:t>日</w:t>
            </w:r>
            <w:r>
              <w:rPr>
                <w:bCs/>
                <w:iCs/>
                <w:color w:val="000000"/>
                <w:sz w:val="24"/>
              </w:rPr>
              <w:t xml:space="preserve"> (</w:t>
            </w:r>
            <w:r>
              <w:rPr>
                <w:bCs/>
                <w:iCs/>
                <w:color w:val="000000"/>
                <w:sz w:val="24"/>
              </w:rPr>
              <w:t>周</w:t>
            </w:r>
            <w:r w:rsidR="00FA7E6E">
              <w:rPr>
                <w:rFonts w:hint="eastAsia"/>
                <w:bCs/>
                <w:iCs/>
                <w:color w:val="000000"/>
                <w:sz w:val="24"/>
              </w:rPr>
              <w:t>三</w:t>
            </w:r>
            <w:r>
              <w:rPr>
                <w:bCs/>
                <w:iCs/>
                <w:color w:val="000000"/>
                <w:sz w:val="24"/>
              </w:rPr>
              <w:t xml:space="preserve">) </w:t>
            </w:r>
            <w:r w:rsidR="00FA7E6E">
              <w:rPr>
                <w:rFonts w:hint="eastAsia"/>
                <w:bCs/>
                <w:iCs/>
                <w:color w:val="000000"/>
                <w:sz w:val="24"/>
              </w:rPr>
              <w:t>上</w:t>
            </w:r>
            <w:r>
              <w:rPr>
                <w:bCs/>
                <w:iCs/>
                <w:color w:val="000000"/>
                <w:sz w:val="24"/>
              </w:rPr>
              <w:t>午</w:t>
            </w:r>
            <w:r>
              <w:rPr>
                <w:bCs/>
                <w:iCs/>
                <w:color w:val="000000"/>
                <w:sz w:val="24"/>
              </w:rPr>
              <w:t xml:space="preserve"> </w:t>
            </w:r>
            <w:r w:rsidR="00FA7E6E">
              <w:rPr>
                <w:rFonts w:hint="eastAsia"/>
                <w:bCs/>
                <w:iCs/>
                <w:color w:val="000000"/>
                <w:sz w:val="24"/>
              </w:rPr>
              <w:t>8</w:t>
            </w:r>
            <w:r>
              <w:rPr>
                <w:bCs/>
                <w:iCs/>
                <w:color w:val="000000"/>
                <w:sz w:val="24"/>
              </w:rPr>
              <w:t>:</w:t>
            </w:r>
            <w:r w:rsidR="00FA7E6E">
              <w:rPr>
                <w:rFonts w:hint="eastAsia"/>
                <w:bCs/>
                <w:iCs/>
                <w:color w:val="000000"/>
                <w:sz w:val="24"/>
              </w:rPr>
              <w:t>5</w:t>
            </w:r>
            <w:r>
              <w:rPr>
                <w:bCs/>
                <w:iCs/>
                <w:color w:val="000000"/>
                <w:sz w:val="24"/>
              </w:rPr>
              <w:t>0~</w:t>
            </w:r>
            <w:r w:rsidR="00FA7E6E">
              <w:rPr>
                <w:rFonts w:hint="eastAsia"/>
                <w:bCs/>
                <w:iCs/>
                <w:color w:val="000000"/>
                <w:sz w:val="24"/>
              </w:rPr>
              <w:t>9</w:t>
            </w:r>
            <w:r>
              <w:rPr>
                <w:bCs/>
                <w:iCs/>
                <w:color w:val="000000"/>
                <w:sz w:val="24"/>
              </w:rPr>
              <w:t>:</w:t>
            </w:r>
            <w:r w:rsidR="00FA7E6E">
              <w:rPr>
                <w:rFonts w:hint="eastAsia"/>
                <w:bCs/>
                <w:iCs/>
                <w:color w:val="000000"/>
                <w:sz w:val="24"/>
              </w:rPr>
              <w:t>3</w:t>
            </w:r>
            <w:r>
              <w:rPr>
                <w:bCs/>
                <w:iCs/>
                <w:color w:val="000000"/>
                <w:sz w:val="24"/>
              </w:rPr>
              <w:t>0</w:t>
            </w:r>
          </w:p>
        </w:tc>
      </w:tr>
      <w:tr w:rsidR="00E36593" w14:paraId="29D34D43" w14:textId="77777777">
        <w:tc>
          <w:tcPr>
            <w:tcW w:w="1908" w:type="dxa"/>
            <w:tcBorders>
              <w:top w:val="single" w:sz="4" w:space="0" w:color="auto"/>
              <w:left w:val="single" w:sz="4" w:space="0" w:color="auto"/>
              <w:bottom w:val="single" w:sz="4" w:space="0" w:color="auto"/>
              <w:right w:val="single" w:sz="4" w:space="0" w:color="auto"/>
            </w:tcBorders>
          </w:tcPr>
          <w:p w14:paraId="1E278391" w14:textId="77777777" w:rsidR="00E36593"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CEF0D04" w14:textId="77DF2CA3" w:rsidR="00E36593" w:rsidRDefault="00B16F86">
            <w:pPr>
              <w:spacing w:line="420" w:lineRule="exact"/>
              <w:rPr>
                <w:bCs/>
                <w:iCs/>
                <w:color w:val="000000"/>
                <w:sz w:val="24"/>
              </w:rPr>
            </w:pPr>
            <w:r>
              <w:rPr>
                <w:rFonts w:hint="eastAsia"/>
                <w:bCs/>
                <w:iCs/>
                <w:color w:val="000000"/>
                <w:sz w:val="24"/>
              </w:rPr>
              <w:t>线上</w:t>
            </w:r>
          </w:p>
        </w:tc>
      </w:tr>
      <w:tr w:rsidR="00E36593" w14:paraId="46C0E0A4" w14:textId="77777777">
        <w:tc>
          <w:tcPr>
            <w:tcW w:w="1908" w:type="dxa"/>
            <w:tcBorders>
              <w:top w:val="single" w:sz="4" w:space="0" w:color="auto"/>
              <w:left w:val="single" w:sz="4" w:space="0" w:color="auto"/>
              <w:bottom w:val="single" w:sz="4" w:space="0" w:color="auto"/>
              <w:right w:val="single" w:sz="4" w:space="0" w:color="auto"/>
            </w:tcBorders>
          </w:tcPr>
          <w:p w14:paraId="2A47D217" w14:textId="77777777" w:rsidR="00E36593"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128F42C" w14:textId="4626F20E" w:rsidR="00E36593" w:rsidRDefault="00000000">
            <w:pPr>
              <w:spacing w:line="420" w:lineRule="exact"/>
              <w:rPr>
                <w:rFonts w:ascii="宋体" w:hAnsi="宋体" w:hint="eastAsia"/>
                <w:bCs/>
                <w:sz w:val="24"/>
              </w:rPr>
            </w:pPr>
            <w:r>
              <w:rPr>
                <w:rFonts w:ascii="宋体" w:hAnsi="宋体"/>
                <w:bCs/>
                <w:sz w:val="24"/>
              </w:rPr>
              <w:t>首席财务官</w:t>
            </w:r>
            <w:r w:rsidR="00546465">
              <w:rPr>
                <w:rFonts w:ascii="宋体" w:hAnsi="宋体" w:hint="eastAsia"/>
                <w:bCs/>
                <w:sz w:val="24"/>
              </w:rPr>
              <w:t xml:space="preserve"> </w:t>
            </w:r>
            <w:r>
              <w:rPr>
                <w:rFonts w:ascii="宋体" w:hAnsi="宋体"/>
                <w:bCs/>
                <w:sz w:val="24"/>
              </w:rPr>
              <w:t>房猛</w:t>
            </w:r>
          </w:p>
          <w:p w14:paraId="5B2C1F7D" w14:textId="35D51562" w:rsidR="00E36593" w:rsidRDefault="00A558D6">
            <w:pPr>
              <w:spacing w:line="420" w:lineRule="exact"/>
              <w:rPr>
                <w:rFonts w:ascii="宋体" w:hAnsi="宋体" w:hint="eastAsia"/>
                <w:bCs/>
                <w:sz w:val="24"/>
              </w:rPr>
            </w:pPr>
            <w:r w:rsidRPr="00A558D6">
              <w:rPr>
                <w:rFonts w:ascii="宋体" w:hAnsi="宋体" w:hint="eastAsia"/>
                <w:bCs/>
                <w:sz w:val="24"/>
              </w:rPr>
              <w:t>副总裁兼董事会秘书</w:t>
            </w:r>
            <w:r w:rsidR="00546465">
              <w:rPr>
                <w:rFonts w:ascii="宋体" w:hAnsi="宋体" w:hint="eastAsia"/>
                <w:bCs/>
                <w:sz w:val="24"/>
              </w:rPr>
              <w:t xml:space="preserve"> </w:t>
            </w:r>
            <w:r>
              <w:rPr>
                <w:rFonts w:ascii="宋体" w:hAnsi="宋体"/>
                <w:bCs/>
                <w:sz w:val="24"/>
              </w:rPr>
              <w:t>王成奎</w:t>
            </w:r>
          </w:p>
        </w:tc>
      </w:tr>
      <w:tr w:rsidR="00E36593" w14:paraId="035D005F" w14:textId="77777777">
        <w:tc>
          <w:tcPr>
            <w:tcW w:w="1908" w:type="dxa"/>
            <w:tcBorders>
              <w:top w:val="single" w:sz="4" w:space="0" w:color="auto"/>
              <w:left w:val="single" w:sz="4" w:space="0" w:color="auto"/>
              <w:bottom w:val="single" w:sz="4" w:space="0" w:color="auto"/>
              <w:right w:val="single" w:sz="4" w:space="0" w:color="auto"/>
            </w:tcBorders>
            <w:vAlign w:val="center"/>
          </w:tcPr>
          <w:p w14:paraId="7076D26F" w14:textId="77777777" w:rsidR="00E36593" w:rsidRDefault="00000000">
            <w:pPr>
              <w:spacing w:line="420" w:lineRule="exact"/>
              <w:rPr>
                <w:bCs/>
                <w:iCs/>
                <w:color w:val="000000"/>
                <w:kern w:val="0"/>
                <w:sz w:val="24"/>
              </w:rPr>
            </w:pPr>
            <w:r>
              <w:rPr>
                <w:rFonts w:hAnsi="宋体"/>
                <w:bCs/>
                <w:iCs/>
                <w:color w:val="000000"/>
                <w:kern w:val="0"/>
                <w:sz w:val="24"/>
              </w:rPr>
              <w:t>投资者关系活动主要内容介绍</w:t>
            </w:r>
          </w:p>
          <w:p w14:paraId="1973EAE1" w14:textId="77777777" w:rsidR="00E36593" w:rsidRDefault="00E3659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F068BA3" w14:textId="77777777" w:rsidR="00E36593" w:rsidRDefault="00000000" w:rsidP="00117B9E">
            <w:pPr>
              <w:spacing w:beforeLines="50" w:before="156" w:line="460" w:lineRule="exact"/>
              <w:ind w:firstLineChars="176" w:firstLine="424"/>
              <w:rPr>
                <w:rFonts w:ascii="宋体" w:hAnsi="宋体" w:hint="eastAsia"/>
                <w:b/>
                <w:sz w:val="24"/>
              </w:rPr>
            </w:pPr>
            <w:r>
              <w:rPr>
                <w:rFonts w:ascii="宋体" w:hAnsi="宋体"/>
                <w:b/>
                <w:sz w:val="24"/>
              </w:rPr>
              <w:t>投资者提出的问题及公司回复情况</w:t>
            </w:r>
          </w:p>
          <w:p w14:paraId="745EC4E9" w14:textId="77777777" w:rsidR="00AD6F29" w:rsidRPr="00CC6432" w:rsidRDefault="00FA7E6E" w:rsidP="00AD6F29">
            <w:pPr>
              <w:adjustRightInd w:val="0"/>
              <w:snapToGrid w:val="0"/>
              <w:spacing w:line="500" w:lineRule="exact"/>
              <w:ind w:firstLineChars="200" w:firstLine="482"/>
              <w:rPr>
                <w:rFonts w:ascii="宋体" w:hAnsi="宋体" w:hint="eastAsia"/>
                <w:b/>
                <w:iCs/>
                <w:color w:val="000000"/>
                <w:sz w:val="24"/>
              </w:rPr>
            </w:pPr>
            <w:r w:rsidRPr="00CC6432">
              <w:rPr>
                <w:rFonts w:ascii="宋体" w:hAnsi="宋体" w:hint="eastAsia"/>
                <w:b/>
                <w:iCs/>
                <w:color w:val="000000"/>
                <w:sz w:val="24"/>
              </w:rPr>
              <w:t>1、</w:t>
            </w:r>
            <w:r w:rsidR="00AD6F29" w:rsidRPr="00CC6432">
              <w:rPr>
                <w:rFonts w:ascii="宋体" w:hAnsi="宋体" w:hint="eastAsia"/>
                <w:b/>
                <w:iCs/>
                <w:color w:val="000000"/>
                <w:sz w:val="24"/>
              </w:rPr>
              <w:t>公司此前英国建厂事项受阻，后续欧洲市场拓展计划？</w:t>
            </w:r>
          </w:p>
          <w:p w14:paraId="5D018AC9" w14:textId="20682824" w:rsidR="008E21F2" w:rsidRDefault="008E21F2" w:rsidP="00AD6F29">
            <w:pPr>
              <w:adjustRightInd w:val="0"/>
              <w:snapToGrid w:val="0"/>
              <w:spacing w:line="500" w:lineRule="exact"/>
              <w:ind w:firstLineChars="200" w:firstLine="480"/>
              <w:rPr>
                <w:rFonts w:ascii="宋体" w:hAnsi="宋体" w:hint="eastAsia"/>
                <w:bCs/>
                <w:iCs/>
                <w:color w:val="000000"/>
                <w:sz w:val="24"/>
              </w:rPr>
            </w:pPr>
            <w:r w:rsidRPr="008E21F2">
              <w:rPr>
                <w:rFonts w:ascii="宋体" w:hAnsi="宋体"/>
                <w:bCs/>
                <w:iCs/>
                <w:color w:val="000000"/>
                <w:sz w:val="24"/>
              </w:rPr>
              <w:t>2025年10月13日，公司公告拟在苏格兰建设英国首个全产业链一体化风电机组制造基地，该投资计划涉及国际情况复杂、建设周期较长、投资金额大，尚需取得国内外监管部门的批准，</w:t>
            </w:r>
            <w:r>
              <w:rPr>
                <w:rFonts w:ascii="宋体" w:hAnsi="宋体" w:hint="eastAsia"/>
                <w:bCs/>
                <w:iCs/>
                <w:color w:val="000000"/>
                <w:sz w:val="24"/>
              </w:rPr>
              <w:t>存在不确定性</w:t>
            </w:r>
            <w:r w:rsidRPr="008E21F2">
              <w:rPr>
                <w:rFonts w:ascii="宋体" w:hAnsi="宋体"/>
                <w:bCs/>
                <w:iCs/>
                <w:color w:val="000000"/>
                <w:sz w:val="24"/>
              </w:rPr>
              <w:t>。截至</w:t>
            </w:r>
            <w:r>
              <w:rPr>
                <w:rFonts w:ascii="宋体" w:hAnsi="宋体" w:hint="eastAsia"/>
                <w:bCs/>
                <w:iCs/>
                <w:color w:val="000000"/>
                <w:sz w:val="24"/>
              </w:rPr>
              <w:t>目前</w:t>
            </w:r>
            <w:r w:rsidRPr="008E21F2">
              <w:rPr>
                <w:rFonts w:ascii="宋体" w:hAnsi="宋体"/>
                <w:bCs/>
                <w:iCs/>
                <w:color w:val="000000"/>
                <w:sz w:val="24"/>
              </w:rPr>
              <w:t>，公司尚未就上述项目投入资金</w:t>
            </w:r>
            <w:r w:rsidR="00E52FA1">
              <w:rPr>
                <w:rFonts w:ascii="宋体" w:hAnsi="宋体" w:hint="eastAsia"/>
                <w:bCs/>
                <w:iCs/>
                <w:color w:val="000000"/>
                <w:sz w:val="24"/>
              </w:rPr>
              <w:t>。</w:t>
            </w:r>
            <w:r w:rsidRPr="008E21F2">
              <w:rPr>
                <w:rFonts w:ascii="宋体" w:hAnsi="宋体"/>
                <w:bCs/>
                <w:iCs/>
                <w:color w:val="000000"/>
                <w:sz w:val="24"/>
              </w:rPr>
              <w:t>。</w:t>
            </w:r>
          </w:p>
          <w:p w14:paraId="5B2FA830" w14:textId="6F6F3436" w:rsidR="00534949" w:rsidRPr="00AD6F29" w:rsidRDefault="00534949" w:rsidP="00534949">
            <w:pPr>
              <w:adjustRightInd w:val="0"/>
              <w:snapToGrid w:val="0"/>
              <w:spacing w:line="500" w:lineRule="exact"/>
              <w:ind w:firstLineChars="200" w:firstLine="480"/>
              <w:rPr>
                <w:rFonts w:ascii="宋体" w:hAnsi="宋体" w:hint="eastAsia"/>
                <w:bCs/>
                <w:iCs/>
                <w:color w:val="000000"/>
                <w:sz w:val="24"/>
              </w:rPr>
            </w:pPr>
            <w:r w:rsidRPr="00534949">
              <w:rPr>
                <w:rFonts w:ascii="宋体" w:hAnsi="宋体"/>
                <w:bCs/>
                <w:iCs/>
                <w:color w:val="000000"/>
                <w:sz w:val="24"/>
              </w:rPr>
              <w:t>公司将海外业务作为战略性增长极</w:t>
            </w:r>
            <w:r>
              <w:rPr>
                <w:rFonts w:ascii="宋体" w:hAnsi="宋体" w:hint="eastAsia"/>
                <w:bCs/>
                <w:iCs/>
                <w:color w:val="000000"/>
                <w:sz w:val="24"/>
              </w:rPr>
              <w:t>，</w:t>
            </w:r>
            <w:r w:rsidRPr="00534949">
              <w:rPr>
                <w:rFonts w:ascii="宋体" w:hAnsi="宋体"/>
                <w:bCs/>
                <w:iCs/>
                <w:color w:val="000000"/>
                <w:sz w:val="24"/>
              </w:rPr>
              <w:t>加速构建全球业务</w:t>
            </w:r>
            <w:r>
              <w:rPr>
                <w:rFonts w:ascii="宋体" w:hAnsi="宋体" w:hint="eastAsia"/>
                <w:bCs/>
                <w:iCs/>
                <w:color w:val="000000"/>
                <w:sz w:val="24"/>
              </w:rPr>
              <w:t>布局，</w:t>
            </w:r>
            <w:r w:rsidR="008E21F2" w:rsidRPr="008E21F2">
              <w:rPr>
                <w:rFonts w:ascii="宋体" w:hAnsi="宋体"/>
                <w:bCs/>
                <w:iCs/>
                <w:color w:val="000000"/>
                <w:sz w:val="24"/>
              </w:rPr>
              <w:t>坚定拓展海外市场，推进全球化布局和属地化工厂建设，提升全球业务覆盖与运营效能</w:t>
            </w:r>
            <w:r>
              <w:rPr>
                <w:rFonts w:ascii="宋体" w:hAnsi="宋体" w:hint="eastAsia"/>
                <w:bCs/>
                <w:iCs/>
                <w:color w:val="000000"/>
                <w:sz w:val="24"/>
              </w:rPr>
              <w:t>。</w:t>
            </w:r>
            <w:r w:rsidRPr="00534949">
              <w:rPr>
                <w:rFonts w:ascii="宋体" w:hAnsi="宋体"/>
                <w:bCs/>
                <w:iCs/>
                <w:color w:val="000000"/>
                <w:sz w:val="24"/>
              </w:rPr>
              <w:t>公司聚焦高价值区域市场，重点突破成熟市场及新兴市场的大型风电与智慧能源项目，强化海外本</w:t>
            </w:r>
            <w:r w:rsidRPr="00534949">
              <w:rPr>
                <w:rFonts w:ascii="宋体" w:hAnsi="宋体"/>
                <w:bCs/>
                <w:iCs/>
                <w:color w:val="000000"/>
                <w:sz w:val="24"/>
              </w:rPr>
              <w:lastRenderedPageBreak/>
              <w:t>地化能力建设，包括营销、服务、供应链与合规体系</w:t>
            </w:r>
            <w:r>
              <w:rPr>
                <w:rFonts w:ascii="宋体" w:hAnsi="宋体" w:hint="eastAsia"/>
                <w:bCs/>
                <w:iCs/>
                <w:color w:val="000000"/>
                <w:sz w:val="24"/>
              </w:rPr>
              <w:t>，</w:t>
            </w:r>
            <w:r w:rsidRPr="00534949">
              <w:rPr>
                <w:rFonts w:ascii="宋体" w:hAnsi="宋体"/>
                <w:bCs/>
                <w:iCs/>
                <w:color w:val="000000"/>
                <w:sz w:val="24"/>
              </w:rPr>
              <w:t>严格按照法律法规要求履行信息披露义务。</w:t>
            </w:r>
          </w:p>
          <w:p w14:paraId="1A09C48D" w14:textId="6AA8005D" w:rsidR="00D61826" w:rsidRDefault="00534949" w:rsidP="00AD6F29">
            <w:pPr>
              <w:adjustRightInd w:val="0"/>
              <w:snapToGrid w:val="0"/>
              <w:spacing w:line="500" w:lineRule="exact"/>
              <w:ind w:firstLineChars="200" w:firstLine="480"/>
              <w:rPr>
                <w:rFonts w:ascii="宋体" w:hAnsi="宋体" w:hint="eastAsia"/>
                <w:bCs/>
                <w:iCs/>
                <w:color w:val="000000"/>
                <w:sz w:val="24"/>
              </w:rPr>
            </w:pPr>
            <w:r w:rsidRPr="00AD6F29" w:rsidDel="00534949">
              <w:rPr>
                <w:rFonts w:ascii="宋体" w:hAnsi="宋体" w:hint="eastAsia"/>
                <w:bCs/>
                <w:iCs/>
                <w:color w:val="000000"/>
                <w:sz w:val="24"/>
              </w:rPr>
              <w:t xml:space="preserve"> </w:t>
            </w:r>
          </w:p>
          <w:p w14:paraId="3BF2A9A2" w14:textId="4A22E712" w:rsidR="00CC6432" w:rsidRPr="00CC6432" w:rsidRDefault="00CC6432" w:rsidP="00CC6432">
            <w:pPr>
              <w:adjustRightInd w:val="0"/>
              <w:snapToGrid w:val="0"/>
              <w:spacing w:line="500" w:lineRule="exact"/>
              <w:ind w:firstLineChars="200" w:firstLine="482"/>
              <w:rPr>
                <w:rFonts w:ascii="宋体" w:hAnsi="宋体" w:hint="eastAsia"/>
                <w:b/>
                <w:iCs/>
                <w:color w:val="000000"/>
                <w:sz w:val="24"/>
              </w:rPr>
            </w:pPr>
            <w:r w:rsidRPr="00CC6432">
              <w:rPr>
                <w:rFonts w:ascii="宋体" w:hAnsi="宋体" w:hint="eastAsia"/>
                <w:b/>
                <w:iCs/>
                <w:color w:val="000000"/>
                <w:sz w:val="24"/>
              </w:rPr>
              <w:t>2、德华芯片并购交易进展？下一个时间节点是什么时候？</w:t>
            </w:r>
            <w:r w:rsidR="00410736" w:rsidRPr="00CC6432" w:rsidDel="00410736">
              <w:rPr>
                <w:rFonts w:ascii="宋体" w:hAnsi="宋体" w:hint="eastAsia"/>
                <w:b/>
                <w:iCs/>
                <w:color w:val="000000"/>
                <w:sz w:val="24"/>
              </w:rPr>
              <w:t xml:space="preserve"> </w:t>
            </w:r>
          </w:p>
          <w:p w14:paraId="1BE1C3E3" w14:textId="0619D93A" w:rsidR="001141EF" w:rsidRPr="00CC6432" w:rsidRDefault="001141EF" w:rsidP="00FF34B3">
            <w:pPr>
              <w:adjustRightInd w:val="0"/>
              <w:snapToGrid w:val="0"/>
              <w:spacing w:line="500" w:lineRule="exact"/>
              <w:ind w:firstLineChars="200" w:firstLine="480"/>
              <w:rPr>
                <w:rFonts w:ascii="宋体" w:hAnsi="宋体" w:hint="eastAsia"/>
                <w:bCs/>
                <w:iCs/>
                <w:color w:val="000000"/>
                <w:sz w:val="24"/>
              </w:rPr>
            </w:pPr>
            <w:r w:rsidRPr="00862FD2">
              <w:rPr>
                <w:rFonts w:ascii="宋体" w:hAnsi="宋体"/>
                <w:bCs/>
                <w:iCs/>
                <w:color w:val="000000"/>
                <w:sz w:val="24"/>
              </w:rPr>
              <w:t>自</w:t>
            </w:r>
            <w:r w:rsidRPr="00CC6432">
              <w:rPr>
                <w:rFonts w:ascii="宋体" w:hAnsi="宋体" w:hint="eastAsia"/>
                <w:bCs/>
                <w:iCs/>
                <w:color w:val="000000"/>
                <w:sz w:val="24"/>
              </w:rPr>
              <w:t>2026年1月1</w:t>
            </w:r>
            <w:r>
              <w:rPr>
                <w:rFonts w:ascii="宋体" w:hAnsi="宋体" w:hint="eastAsia"/>
                <w:bCs/>
                <w:iCs/>
                <w:color w:val="000000"/>
                <w:sz w:val="24"/>
              </w:rPr>
              <w:t>3</w:t>
            </w:r>
            <w:r w:rsidRPr="00CC6432">
              <w:rPr>
                <w:rFonts w:ascii="宋体" w:hAnsi="宋体" w:hint="eastAsia"/>
                <w:bCs/>
                <w:iCs/>
                <w:color w:val="000000"/>
                <w:sz w:val="24"/>
              </w:rPr>
              <w:t>日</w:t>
            </w:r>
            <w:r>
              <w:rPr>
                <w:rFonts w:ascii="宋体" w:hAnsi="宋体" w:hint="eastAsia"/>
                <w:bCs/>
                <w:iCs/>
                <w:color w:val="000000"/>
                <w:sz w:val="24"/>
              </w:rPr>
              <w:t>公司</w:t>
            </w:r>
            <w:r w:rsidRPr="00CC6432">
              <w:rPr>
                <w:rFonts w:ascii="宋体" w:hAnsi="宋体" w:hint="eastAsia"/>
                <w:bCs/>
                <w:iCs/>
                <w:color w:val="000000"/>
                <w:sz w:val="24"/>
              </w:rPr>
              <w:t>公告拟</w:t>
            </w:r>
            <w:r w:rsidR="001767CB">
              <w:rPr>
                <w:rFonts w:ascii="宋体" w:hAnsi="宋体" w:hint="eastAsia"/>
                <w:bCs/>
                <w:iCs/>
                <w:color w:val="000000"/>
                <w:sz w:val="24"/>
              </w:rPr>
              <w:t>筹划发行股份及支付现金购买资产并募集配套资金及关联交易事项的停牌公告以来，</w:t>
            </w:r>
            <w:r w:rsidR="001767CB" w:rsidRPr="001767CB">
              <w:rPr>
                <w:rFonts w:ascii="宋体" w:hAnsi="宋体" w:hint="eastAsia"/>
                <w:bCs/>
                <w:iCs/>
                <w:color w:val="000000"/>
                <w:sz w:val="24"/>
              </w:rPr>
              <w:t>收购德华芯片控制权</w:t>
            </w:r>
            <w:r w:rsidR="001767CB">
              <w:rPr>
                <w:rFonts w:ascii="宋体" w:hAnsi="宋体" w:hint="eastAsia"/>
                <w:bCs/>
                <w:iCs/>
                <w:color w:val="000000"/>
                <w:sz w:val="24"/>
              </w:rPr>
              <w:t>等事宜</w:t>
            </w:r>
            <w:r w:rsidRPr="00CC6432">
              <w:rPr>
                <w:rFonts w:ascii="宋体" w:hAnsi="宋体" w:hint="eastAsia"/>
                <w:bCs/>
                <w:iCs/>
                <w:color w:val="000000"/>
                <w:sz w:val="24"/>
              </w:rPr>
              <w:t>稳步推进。2026年1月22日，公司第三届董事会第三十次会议审议通过交易预案，次日股票复牌。目前公司已根据上交所问询函要求完成回复及预案修订，相关审计、评估工作正有序推进</w:t>
            </w:r>
            <w:r>
              <w:rPr>
                <w:rFonts w:ascii="宋体" w:hAnsi="宋体" w:hint="eastAsia"/>
                <w:bCs/>
                <w:iCs/>
                <w:color w:val="000000"/>
                <w:sz w:val="24"/>
              </w:rPr>
              <w:t>中</w:t>
            </w:r>
            <w:r w:rsidRPr="00CC6432">
              <w:rPr>
                <w:rFonts w:ascii="宋体" w:hAnsi="宋体" w:hint="eastAsia"/>
                <w:bCs/>
                <w:iCs/>
                <w:color w:val="000000"/>
                <w:sz w:val="24"/>
              </w:rPr>
              <w:t>。</w:t>
            </w:r>
          </w:p>
          <w:p w14:paraId="16AD4822" w14:textId="7E0966F9" w:rsidR="00FA7E6E" w:rsidRDefault="00FA7E6E" w:rsidP="00CC6432">
            <w:pPr>
              <w:adjustRightInd w:val="0"/>
              <w:snapToGrid w:val="0"/>
              <w:spacing w:line="500" w:lineRule="exact"/>
              <w:ind w:firstLineChars="200" w:firstLine="480"/>
              <w:rPr>
                <w:rFonts w:ascii="宋体" w:hAnsi="宋体" w:hint="eastAsia"/>
                <w:bCs/>
                <w:iCs/>
                <w:color w:val="000000"/>
                <w:sz w:val="24"/>
              </w:rPr>
            </w:pPr>
          </w:p>
          <w:p w14:paraId="41DF4ADB" w14:textId="0A7187AC" w:rsidR="00FA3E8F" w:rsidRPr="00FA3E8F" w:rsidRDefault="00FA3E8F" w:rsidP="00CC6432">
            <w:pPr>
              <w:adjustRightInd w:val="0"/>
              <w:snapToGrid w:val="0"/>
              <w:spacing w:line="500" w:lineRule="exact"/>
              <w:ind w:firstLineChars="200" w:firstLine="482"/>
              <w:rPr>
                <w:rFonts w:ascii="宋体" w:hAnsi="宋体" w:hint="eastAsia"/>
                <w:b/>
                <w:iCs/>
                <w:color w:val="000000"/>
                <w:sz w:val="24"/>
              </w:rPr>
            </w:pPr>
            <w:r w:rsidRPr="00FA3E8F">
              <w:rPr>
                <w:rFonts w:ascii="宋体" w:hAnsi="宋体" w:hint="eastAsia"/>
                <w:b/>
                <w:iCs/>
                <w:color w:val="000000"/>
                <w:sz w:val="24"/>
              </w:rPr>
              <w:t>3、2025年公司的整体经营情况？</w:t>
            </w:r>
          </w:p>
          <w:p w14:paraId="45D402EC" w14:textId="77777777" w:rsidR="00FA3E8F" w:rsidRDefault="00FA3E8F" w:rsidP="00CC6432">
            <w:pPr>
              <w:adjustRightInd w:val="0"/>
              <w:snapToGrid w:val="0"/>
              <w:spacing w:line="500" w:lineRule="exact"/>
              <w:ind w:firstLineChars="200" w:firstLine="480"/>
              <w:rPr>
                <w:rFonts w:ascii="宋体" w:hAnsi="宋体" w:hint="eastAsia"/>
                <w:bCs/>
                <w:iCs/>
                <w:color w:val="000000"/>
                <w:sz w:val="24"/>
              </w:rPr>
            </w:pPr>
            <w:r>
              <w:rPr>
                <w:rFonts w:ascii="宋体" w:hAnsi="宋体" w:hint="eastAsia"/>
                <w:bCs/>
                <w:iCs/>
                <w:color w:val="000000"/>
                <w:sz w:val="24"/>
              </w:rPr>
              <w:t>2025年，</w:t>
            </w:r>
            <w:r w:rsidRPr="00FA3E8F">
              <w:rPr>
                <w:rFonts w:ascii="宋体" w:hAnsi="宋体" w:hint="eastAsia"/>
                <w:bCs/>
                <w:iCs/>
                <w:color w:val="000000"/>
                <w:sz w:val="24"/>
              </w:rPr>
              <w:t>公司实现营业收入380</w:t>
            </w:r>
            <w:r>
              <w:rPr>
                <w:rFonts w:ascii="宋体" w:hAnsi="宋体" w:hint="eastAsia"/>
                <w:bCs/>
                <w:iCs/>
                <w:color w:val="000000"/>
                <w:sz w:val="24"/>
              </w:rPr>
              <w:t>.</w:t>
            </w:r>
            <w:r w:rsidRPr="00FA3E8F">
              <w:rPr>
                <w:rFonts w:ascii="宋体" w:hAnsi="宋体" w:hint="eastAsia"/>
                <w:bCs/>
                <w:iCs/>
                <w:color w:val="000000"/>
                <w:sz w:val="24"/>
              </w:rPr>
              <w:t>9</w:t>
            </w:r>
            <w:r>
              <w:rPr>
                <w:rFonts w:ascii="宋体" w:hAnsi="宋体" w:hint="eastAsia"/>
                <w:bCs/>
                <w:iCs/>
                <w:color w:val="000000"/>
                <w:sz w:val="24"/>
              </w:rPr>
              <w:t>5亿</w:t>
            </w:r>
            <w:r w:rsidRPr="00FA3E8F">
              <w:rPr>
                <w:rFonts w:ascii="宋体" w:hAnsi="宋体" w:hint="eastAsia"/>
                <w:bCs/>
                <w:iCs/>
                <w:color w:val="000000"/>
                <w:sz w:val="24"/>
              </w:rPr>
              <w:t>元，同比上升40.27%；归属于上市公司股东的净利润为6</w:t>
            </w:r>
            <w:r>
              <w:rPr>
                <w:rFonts w:ascii="宋体" w:hAnsi="宋体" w:hint="eastAsia"/>
                <w:bCs/>
                <w:iCs/>
                <w:color w:val="000000"/>
                <w:sz w:val="24"/>
              </w:rPr>
              <w:t>.6亿</w:t>
            </w:r>
            <w:r w:rsidRPr="00FA3E8F">
              <w:rPr>
                <w:rFonts w:ascii="宋体" w:hAnsi="宋体" w:hint="eastAsia"/>
                <w:bCs/>
                <w:iCs/>
                <w:color w:val="000000"/>
                <w:sz w:val="24"/>
              </w:rPr>
              <w:t>元，同比增加90.65%。其中，风机及相关配件销售收入310.10亿元，新能源电站发电收入13.54亿元，电站产品销售收入45.06亿元。</w:t>
            </w:r>
          </w:p>
          <w:p w14:paraId="693AB6B2" w14:textId="0FE5DBFE" w:rsidR="00FA3E8F" w:rsidRDefault="00FA3E8F" w:rsidP="00CC6432">
            <w:pPr>
              <w:adjustRightInd w:val="0"/>
              <w:snapToGrid w:val="0"/>
              <w:spacing w:line="500" w:lineRule="exact"/>
              <w:ind w:firstLineChars="200" w:firstLine="480"/>
              <w:rPr>
                <w:rFonts w:ascii="宋体" w:hAnsi="宋体" w:hint="eastAsia"/>
                <w:bCs/>
                <w:iCs/>
                <w:color w:val="000000"/>
                <w:sz w:val="24"/>
              </w:rPr>
            </w:pPr>
            <w:r w:rsidRPr="00FA3E8F">
              <w:rPr>
                <w:rFonts w:ascii="宋体" w:hAnsi="宋体" w:hint="eastAsia"/>
                <w:bCs/>
                <w:iCs/>
                <w:color w:val="000000"/>
                <w:sz w:val="24"/>
              </w:rPr>
              <w:t>截至</w:t>
            </w:r>
            <w:r>
              <w:rPr>
                <w:rFonts w:ascii="宋体" w:hAnsi="宋体" w:hint="eastAsia"/>
                <w:bCs/>
                <w:iCs/>
                <w:color w:val="000000"/>
                <w:sz w:val="24"/>
              </w:rPr>
              <w:t>2025年</w:t>
            </w:r>
            <w:r w:rsidRPr="00FA3E8F">
              <w:rPr>
                <w:rFonts w:ascii="宋体" w:hAnsi="宋体" w:hint="eastAsia"/>
                <w:bCs/>
                <w:iCs/>
                <w:color w:val="000000"/>
                <w:sz w:val="24"/>
              </w:rPr>
              <w:t>末，公司在运营的新能源电站装机容量2.09GW，在建装机容量4.51GW，新能源电站“滚动开发”模式持续深化。风机制造业务，实现风机对外销售18.3GW，同比增长69.13%，其中陆风16.1GW，同比增长77.70%，海风2.2GW，同比增长25.71%。</w:t>
            </w:r>
          </w:p>
          <w:p w14:paraId="73138545" w14:textId="67EDA738" w:rsidR="006030A0" w:rsidRPr="00FA3E8F" w:rsidRDefault="00FA3E8F" w:rsidP="006030A0">
            <w:pPr>
              <w:adjustRightInd w:val="0"/>
              <w:snapToGrid w:val="0"/>
              <w:spacing w:line="500" w:lineRule="exact"/>
              <w:ind w:firstLineChars="200" w:firstLine="482"/>
              <w:rPr>
                <w:rFonts w:ascii="宋体" w:hAnsi="宋体" w:hint="eastAsia"/>
                <w:b/>
                <w:iCs/>
                <w:color w:val="000000"/>
                <w:sz w:val="24"/>
              </w:rPr>
            </w:pPr>
            <w:r>
              <w:rPr>
                <w:rFonts w:ascii="宋体" w:hAnsi="宋体" w:hint="eastAsia"/>
                <w:b/>
                <w:iCs/>
                <w:color w:val="000000"/>
                <w:sz w:val="24"/>
              </w:rPr>
              <w:t>4</w:t>
            </w:r>
            <w:r w:rsidR="006030A0" w:rsidRPr="00FA3E8F">
              <w:rPr>
                <w:rFonts w:ascii="宋体" w:hAnsi="宋体" w:hint="eastAsia"/>
                <w:b/>
                <w:iCs/>
                <w:color w:val="000000"/>
                <w:sz w:val="24"/>
              </w:rPr>
              <w:t>、2026年一季度的业绩波动，主要有哪些原因？未来展望如何？</w:t>
            </w:r>
          </w:p>
          <w:p w14:paraId="14802003" w14:textId="73B22FBD" w:rsidR="00FA3E8F" w:rsidRDefault="006030A0" w:rsidP="0048779F">
            <w:pPr>
              <w:adjustRightInd w:val="0"/>
              <w:snapToGrid w:val="0"/>
              <w:spacing w:line="500" w:lineRule="exact"/>
              <w:ind w:firstLineChars="200" w:firstLine="480"/>
              <w:rPr>
                <w:rFonts w:ascii="宋体" w:hAnsi="宋体" w:hint="eastAsia"/>
                <w:bCs/>
                <w:iCs/>
                <w:color w:val="000000"/>
                <w:sz w:val="24"/>
              </w:rPr>
            </w:pPr>
            <w:r>
              <w:rPr>
                <w:rFonts w:ascii="宋体" w:hAnsi="宋体" w:hint="eastAsia"/>
                <w:bCs/>
                <w:iCs/>
                <w:color w:val="000000"/>
                <w:sz w:val="24"/>
              </w:rPr>
              <w:t>2026年一季度</w:t>
            </w:r>
            <w:r w:rsidR="0048779F">
              <w:rPr>
                <w:rFonts w:ascii="宋体" w:hAnsi="宋体" w:hint="eastAsia"/>
                <w:bCs/>
                <w:iCs/>
                <w:color w:val="000000"/>
                <w:sz w:val="24"/>
              </w:rPr>
              <w:t>，公司实现</w:t>
            </w:r>
            <w:r>
              <w:rPr>
                <w:rFonts w:ascii="宋体" w:hAnsi="宋体" w:hint="eastAsia"/>
                <w:bCs/>
                <w:iCs/>
                <w:color w:val="000000"/>
                <w:sz w:val="24"/>
              </w:rPr>
              <w:t>营业收入</w:t>
            </w:r>
            <w:r w:rsidR="00FA3E8F">
              <w:rPr>
                <w:rFonts w:ascii="宋体" w:hAnsi="宋体" w:hint="eastAsia"/>
                <w:bCs/>
                <w:iCs/>
                <w:color w:val="000000"/>
                <w:sz w:val="24"/>
              </w:rPr>
              <w:t>86.63</w:t>
            </w:r>
            <w:r>
              <w:rPr>
                <w:rFonts w:ascii="宋体" w:hAnsi="宋体" w:hint="eastAsia"/>
                <w:bCs/>
                <w:iCs/>
                <w:color w:val="000000"/>
                <w:sz w:val="24"/>
              </w:rPr>
              <w:t>亿元，同比</w:t>
            </w:r>
            <w:r w:rsidR="00A24EED">
              <w:rPr>
                <w:rFonts w:ascii="宋体" w:hAnsi="宋体" w:hint="eastAsia"/>
                <w:bCs/>
                <w:iCs/>
                <w:color w:val="000000"/>
                <w:sz w:val="24"/>
              </w:rPr>
              <w:t>增长</w:t>
            </w:r>
            <w:r>
              <w:rPr>
                <w:rFonts w:ascii="宋体" w:hAnsi="宋体" w:hint="eastAsia"/>
                <w:bCs/>
                <w:iCs/>
                <w:color w:val="000000"/>
                <w:sz w:val="24"/>
              </w:rPr>
              <w:t>12.45%</w:t>
            </w:r>
            <w:r w:rsidR="00A24EED">
              <w:rPr>
                <w:rFonts w:ascii="宋体" w:hAnsi="宋体" w:hint="eastAsia"/>
                <w:bCs/>
                <w:iCs/>
                <w:color w:val="000000"/>
                <w:sz w:val="24"/>
              </w:rPr>
              <w:t>。</w:t>
            </w:r>
            <w:r w:rsidR="00FA3E8F" w:rsidRPr="00FA3E8F">
              <w:rPr>
                <w:rFonts w:ascii="宋体" w:hAnsi="宋体" w:hint="eastAsia"/>
                <w:bCs/>
                <w:iCs/>
                <w:color w:val="000000"/>
                <w:sz w:val="24"/>
              </w:rPr>
              <w:t>风机及相关配件销售约81.95亿元，发电销售收入约3.5亿元。风机制造业务，实现风机对外销售4.46GW，其中陆风约3.88GW，海风0.58GW。</w:t>
            </w:r>
          </w:p>
          <w:p w14:paraId="3287B9C9" w14:textId="096DCB99" w:rsidR="00CD30D0" w:rsidRDefault="00A24EED" w:rsidP="0048779F">
            <w:pPr>
              <w:adjustRightInd w:val="0"/>
              <w:snapToGrid w:val="0"/>
              <w:spacing w:line="500" w:lineRule="exact"/>
              <w:ind w:firstLineChars="200" w:firstLine="480"/>
              <w:rPr>
                <w:rFonts w:ascii="宋体" w:hAnsi="宋体" w:hint="eastAsia"/>
                <w:bCs/>
                <w:iCs/>
                <w:color w:val="000000"/>
                <w:sz w:val="24"/>
              </w:rPr>
            </w:pPr>
            <w:r>
              <w:rPr>
                <w:rFonts w:ascii="宋体" w:hAnsi="宋体" w:hint="eastAsia"/>
                <w:bCs/>
                <w:iCs/>
                <w:color w:val="000000"/>
                <w:sz w:val="24"/>
              </w:rPr>
              <w:lastRenderedPageBreak/>
              <w:t>2026年1-3月利润等指标</w:t>
            </w:r>
            <w:r w:rsidR="0048779F">
              <w:rPr>
                <w:rFonts w:ascii="宋体" w:hAnsi="宋体" w:hint="eastAsia"/>
                <w:bCs/>
                <w:iCs/>
                <w:color w:val="000000"/>
                <w:sz w:val="24"/>
              </w:rPr>
              <w:t>出现阶段性下滑，</w:t>
            </w:r>
            <w:r>
              <w:rPr>
                <w:rFonts w:ascii="宋体" w:hAnsi="宋体" w:hint="eastAsia"/>
                <w:bCs/>
                <w:iCs/>
                <w:color w:val="000000"/>
                <w:sz w:val="24"/>
              </w:rPr>
              <w:t>主要是电站销售规模比2025年同期减少</w:t>
            </w:r>
            <w:r w:rsidR="00FA3E8F">
              <w:rPr>
                <w:rFonts w:ascii="宋体" w:hAnsi="宋体" w:hint="eastAsia"/>
                <w:bCs/>
                <w:iCs/>
                <w:color w:val="000000"/>
                <w:sz w:val="24"/>
              </w:rPr>
              <w:t>，整体</w:t>
            </w:r>
            <w:r w:rsidR="00FA3E8F" w:rsidRPr="00FA3E8F">
              <w:rPr>
                <w:rFonts w:ascii="宋体" w:hAnsi="宋体" w:hint="eastAsia"/>
                <w:bCs/>
                <w:iCs/>
                <w:color w:val="000000"/>
                <w:sz w:val="24"/>
              </w:rPr>
              <w:t>转让节奏</w:t>
            </w:r>
            <w:r w:rsidR="00441103">
              <w:rPr>
                <w:rFonts w:ascii="宋体" w:hAnsi="宋体" w:hint="eastAsia"/>
                <w:bCs/>
                <w:iCs/>
                <w:color w:val="000000"/>
                <w:sz w:val="24"/>
              </w:rPr>
              <w:t>延后，</w:t>
            </w:r>
            <w:r w:rsidR="00441103" w:rsidRPr="00441103">
              <w:rPr>
                <w:rFonts w:ascii="宋体" w:hAnsi="宋体" w:hint="eastAsia"/>
                <w:bCs/>
                <w:iCs/>
                <w:color w:val="000000"/>
                <w:sz w:val="24"/>
              </w:rPr>
              <w:t>以及公司为拓展海外业务导致相关费用大幅增长影响。</w:t>
            </w:r>
          </w:p>
          <w:p w14:paraId="29818D93" w14:textId="5317AEC4" w:rsidR="00441103" w:rsidRDefault="00441103" w:rsidP="006030A0">
            <w:pPr>
              <w:adjustRightInd w:val="0"/>
              <w:snapToGrid w:val="0"/>
              <w:spacing w:line="500" w:lineRule="exact"/>
              <w:ind w:firstLineChars="200" w:firstLine="480"/>
              <w:rPr>
                <w:rFonts w:ascii="宋体" w:hAnsi="宋体" w:hint="eastAsia"/>
                <w:bCs/>
                <w:iCs/>
                <w:color w:val="000000"/>
                <w:sz w:val="24"/>
              </w:rPr>
            </w:pPr>
            <w:r w:rsidRPr="00441103">
              <w:rPr>
                <w:rFonts w:ascii="宋体" w:hAnsi="宋体" w:hint="eastAsia"/>
                <w:bCs/>
                <w:iCs/>
                <w:color w:val="000000"/>
                <w:sz w:val="24"/>
              </w:rPr>
              <w:t>公司正积极推动电站项目谈判，优化交易结构与价格条款，确保全年出售计划不受影响；同时通过技术降本、供应链优化与运营效率提升，应对原材料上涨压力。公司将持续坚定推进降本增效、管理变革与海外拓展战略，对完成全年经营目标保持信心。</w:t>
            </w:r>
          </w:p>
          <w:p w14:paraId="7AF24803" w14:textId="77777777" w:rsidR="001B0AF2" w:rsidRDefault="001B0AF2" w:rsidP="00833A51">
            <w:pPr>
              <w:adjustRightInd w:val="0"/>
              <w:snapToGrid w:val="0"/>
              <w:spacing w:line="500" w:lineRule="exact"/>
              <w:ind w:firstLineChars="200" w:firstLine="480"/>
              <w:rPr>
                <w:rFonts w:ascii="宋体" w:hAnsi="宋体" w:hint="eastAsia"/>
                <w:bCs/>
                <w:iCs/>
                <w:color w:val="000000"/>
                <w:sz w:val="24"/>
              </w:rPr>
            </w:pPr>
          </w:p>
          <w:p w14:paraId="20915B01" w14:textId="28630CE4" w:rsidR="00833A51" w:rsidRDefault="00833A51" w:rsidP="00833A51">
            <w:pPr>
              <w:adjustRightInd w:val="0"/>
              <w:snapToGrid w:val="0"/>
              <w:spacing w:line="500" w:lineRule="exact"/>
              <w:ind w:firstLineChars="200" w:firstLine="480"/>
              <w:rPr>
                <w:rFonts w:ascii="宋体" w:hAnsi="宋体" w:hint="eastAsia"/>
                <w:bCs/>
                <w:iCs/>
                <w:color w:val="000000"/>
                <w:sz w:val="24"/>
              </w:rPr>
            </w:pPr>
            <w:r w:rsidRPr="00833A51">
              <w:rPr>
                <w:rFonts w:ascii="宋体" w:hAnsi="宋体" w:hint="eastAsia"/>
                <w:bCs/>
                <w:iCs/>
                <w:color w:val="000000"/>
                <w:sz w:val="24"/>
              </w:rPr>
              <w:t>公司本次业绩</w:t>
            </w:r>
            <w:r w:rsidR="00B16F86">
              <w:rPr>
                <w:rFonts w:ascii="宋体" w:hAnsi="宋体" w:hint="eastAsia"/>
                <w:bCs/>
                <w:iCs/>
                <w:color w:val="000000"/>
                <w:sz w:val="24"/>
              </w:rPr>
              <w:t>交流会</w:t>
            </w:r>
            <w:r w:rsidRPr="00833A51">
              <w:rPr>
                <w:rFonts w:ascii="宋体" w:hAnsi="宋体" w:hint="eastAsia"/>
                <w:bCs/>
                <w:iCs/>
                <w:color w:val="000000"/>
                <w:sz w:val="24"/>
              </w:rPr>
              <w:t>包括对未来行业的预测、公司发展战略、经营目标等前瞻性陈述，并不代表公司的盈利预测，也不构成公司对投资者的实质承诺，敬请投资者注意投资风险。</w:t>
            </w:r>
          </w:p>
        </w:tc>
      </w:tr>
      <w:tr w:rsidR="00E36593" w14:paraId="05B51F79" w14:textId="77777777">
        <w:tc>
          <w:tcPr>
            <w:tcW w:w="1908" w:type="dxa"/>
            <w:tcBorders>
              <w:top w:val="single" w:sz="4" w:space="0" w:color="auto"/>
              <w:left w:val="single" w:sz="4" w:space="0" w:color="auto"/>
              <w:bottom w:val="single" w:sz="4" w:space="0" w:color="auto"/>
              <w:right w:val="single" w:sz="4" w:space="0" w:color="auto"/>
            </w:tcBorders>
            <w:vAlign w:val="center"/>
          </w:tcPr>
          <w:p w14:paraId="21E3E92C" w14:textId="77777777" w:rsidR="00E36593"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3F74FA5A" w14:textId="55AB1D5D" w:rsidR="00E36593" w:rsidRDefault="00026755">
            <w:pPr>
              <w:spacing w:line="420" w:lineRule="exact"/>
              <w:rPr>
                <w:bCs/>
                <w:iCs/>
                <w:color w:val="000000"/>
                <w:sz w:val="24"/>
              </w:rPr>
            </w:pPr>
            <w:r>
              <w:rPr>
                <w:rFonts w:hint="eastAsia"/>
                <w:bCs/>
                <w:iCs/>
                <w:color w:val="000000"/>
                <w:sz w:val="24"/>
              </w:rPr>
              <w:t>无</w:t>
            </w:r>
          </w:p>
        </w:tc>
      </w:tr>
      <w:tr w:rsidR="00E36593" w14:paraId="403B25BE" w14:textId="77777777">
        <w:tc>
          <w:tcPr>
            <w:tcW w:w="1908" w:type="dxa"/>
            <w:tcBorders>
              <w:top w:val="single" w:sz="4" w:space="0" w:color="auto"/>
              <w:left w:val="single" w:sz="4" w:space="0" w:color="auto"/>
              <w:bottom w:val="single" w:sz="4" w:space="0" w:color="auto"/>
              <w:right w:val="single" w:sz="4" w:space="0" w:color="auto"/>
            </w:tcBorders>
            <w:vAlign w:val="center"/>
          </w:tcPr>
          <w:p w14:paraId="10851118" w14:textId="77777777" w:rsidR="00E36593"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5BED78AB" w14:textId="0498B1DD" w:rsidR="00E36593" w:rsidRDefault="00000000">
            <w:pPr>
              <w:spacing w:line="420" w:lineRule="exact"/>
              <w:rPr>
                <w:bCs/>
                <w:iCs/>
                <w:color w:val="000000"/>
                <w:sz w:val="24"/>
              </w:rPr>
            </w:pPr>
            <w:r>
              <w:rPr>
                <w:bCs/>
                <w:iCs/>
                <w:color w:val="000000"/>
                <w:sz w:val="24"/>
              </w:rPr>
              <w:t>202</w:t>
            </w:r>
            <w:r w:rsidR="00FA7E6E">
              <w:rPr>
                <w:rFonts w:hint="eastAsia"/>
                <w:bCs/>
                <w:iCs/>
                <w:color w:val="000000"/>
                <w:sz w:val="24"/>
              </w:rPr>
              <w:t>6</w:t>
            </w:r>
            <w:r>
              <w:rPr>
                <w:bCs/>
                <w:iCs/>
                <w:color w:val="000000"/>
                <w:sz w:val="24"/>
              </w:rPr>
              <w:t>-</w:t>
            </w:r>
            <w:r w:rsidR="00FA7E6E">
              <w:rPr>
                <w:rFonts w:hint="eastAsia"/>
                <w:bCs/>
                <w:iCs/>
                <w:color w:val="000000"/>
                <w:sz w:val="24"/>
              </w:rPr>
              <w:t>4</w:t>
            </w:r>
            <w:r>
              <w:rPr>
                <w:bCs/>
                <w:iCs/>
                <w:color w:val="000000"/>
                <w:sz w:val="24"/>
              </w:rPr>
              <w:t>-</w:t>
            </w:r>
            <w:r w:rsidR="00FA7E6E">
              <w:rPr>
                <w:rFonts w:hint="eastAsia"/>
                <w:bCs/>
                <w:iCs/>
                <w:color w:val="000000"/>
                <w:sz w:val="24"/>
              </w:rPr>
              <w:t>29</w:t>
            </w:r>
          </w:p>
        </w:tc>
      </w:tr>
    </w:tbl>
    <w:p w14:paraId="3823B9E6" w14:textId="77777777" w:rsidR="00E36593" w:rsidRDefault="00E36593"/>
    <w:sectPr w:rsidR="00E3659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313D" w14:textId="77777777" w:rsidR="001835AB" w:rsidRDefault="001835AB">
      <w:r>
        <w:separator/>
      </w:r>
    </w:p>
  </w:endnote>
  <w:endnote w:type="continuationSeparator" w:id="0">
    <w:p w14:paraId="77756411" w14:textId="77777777" w:rsidR="001835AB" w:rsidRDefault="0018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2764" w14:textId="527779A7" w:rsidR="00E36593" w:rsidRDefault="00E36593">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C077" w14:textId="77777777" w:rsidR="001835AB" w:rsidRDefault="001835AB">
      <w:r>
        <w:separator/>
      </w:r>
    </w:p>
  </w:footnote>
  <w:footnote w:type="continuationSeparator" w:id="0">
    <w:p w14:paraId="372D2F44" w14:textId="77777777" w:rsidR="001835AB" w:rsidRDefault="0018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2CBB" w14:textId="4C82DA3A" w:rsidR="00E36593" w:rsidRDefault="00E36593">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755"/>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41EF"/>
    <w:rsid w:val="001169A9"/>
    <w:rsid w:val="00117B9E"/>
    <w:rsid w:val="0012399C"/>
    <w:rsid w:val="00125EB2"/>
    <w:rsid w:val="00142A4C"/>
    <w:rsid w:val="00144279"/>
    <w:rsid w:val="001452FF"/>
    <w:rsid w:val="00153DC5"/>
    <w:rsid w:val="0016617A"/>
    <w:rsid w:val="00167E99"/>
    <w:rsid w:val="001767CB"/>
    <w:rsid w:val="001835AB"/>
    <w:rsid w:val="0019479A"/>
    <w:rsid w:val="001975AB"/>
    <w:rsid w:val="001A00F5"/>
    <w:rsid w:val="001A1F65"/>
    <w:rsid w:val="001A5CE9"/>
    <w:rsid w:val="001B0AF2"/>
    <w:rsid w:val="001C0216"/>
    <w:rsid w:val="001C50AD"/>
    <w:rsid w:val="001D22EE"/>
    <w:rsid w:val="001D4C89"/>
    <w:rsid w:val="001E1838"/>
    <w:rsid w:val="001E3145"/>
    <w:rsid w:val="001E6509"/>
    <w:rsid w:val="001E7968"/>
    <w:rsid w:val="00210C44"/>
    <w:rsid w:val="0022180A"/>
    <w:rsid w:val="00223ABC"/>
    <w:rsid w:val="002241B9"/>
    <w:rsid w:val="002274D9"/>
    <w:rsid w:val="00231D70"/>
    <w:rsid w:val="0023455A"/>
    <w:rsid w:val="00237994"/>
    <w:rsid w:val="00251D58"/>
    <w:rsid w:val="002530EE"/>
    <w:rsid w:val="002549E6"/>
    <w:rsid w:val="00256602"/>
    <w:rsid w:val="00271C8D"/>
    <w:rsid w:val="00273B53"/>
    <w:rsid w:val="0028080C"/>
    <w:rsid w:val="00295257"/>
    <w:rsid w:val="00297703"/>
    <w:rsid w:val="002A0826"/>
    <w:rsid w:val="002A0984"/>
    <w:rsid w:val="002A39C4"/>
    <w:rsid w:val="002A4DC9"/>
    <w:rsid w:val="002A589B"/>
    <w:rsid w:val="002B1184"/>
    <w:rsid w:val="002B71B8"/>
    <w:rsid w:val="002B7469"/>
    <w:rsid w:val="002C22C6"/>
    <w:rsid w:val="002C6568"/>
    <w:rsid w:val="002C723B"/>
    <w:rsid w:val="002D2C7F"/>
    <w:rsid w:val="002D39BC"/>
    <w:rsid w:val="002E1B15"/>
    <w:rsid w:val="002E1D3A"/>
    <w:rsid w:val="003005F0"/>
    <w:rsid w:val="003030BF"/>
    <w:rsid w:val="00304F89"/>
    <w:rsid w:val="00306023"/>
    <w:rsid w:val="0032744D"/>
    <w:rsid w:val="00327D5D"/>
    <w:rsid w:val="00344914"/>
    <w:rsid w:val="00346917"/>
    <w:rsid w:val="00354A7B"/>
    <w:rsid w:val="00360FDA"/>
    <w:rsid w:val="0036183F"/>
    <w:rsid w:val="00363075"/>
    <w:rsid w:val="00367D18"/>
    <w:rsid w:val="00372A1C"/>
    <w:rsid w:val="0037435A"/>
    <w:rsid w:val="00377D8F"/>
    <w:rsid w:val="00383679"/>
    <w:rsid w:val="003A1E68"/>
    <w:rsid w:val="003A3592"/>
    <w:rsid w:val="003B0122"/>
    <w:rsid w:val="003B0BE5"/>
    <w:rsid w:val="003C200B"/>
    <w:rsid w:val="003D13D2"/>
    <w:rsid w:val="003D18F1"/>
    <w:rsid w:val="003E001E"/>
    <w:rsid w:val="003F7C4D"/>
    <w:rsid w:val="004002C1"/>
    <w:rsid w:val="0040075F"/>
    <w:rsid w:val="00403300"/>
    <w:rsid w:val="00410736"/>
    <w:rsid w:val="004118C0"/>
    <w:rsid w:val="00417A31"/>
    <w:rsid w:val="0042004B"/>
    <w:rsid w:val="00433384"/>
    <w:rsid w:val="0043720C"/>
    <w:rsid w:val="0043777D"/>
    <w:rsid w:val="00441103"/>
    <w:rsid w:val="00455BB0"/>
    <w:rsid w:val="0045767F"/>
    <w:rsid w:val="00463E9B"/>
    <w:rsid w:val="00467414"/>
    <w:rsid w:val="00467E92"/>
    <w:rsid w:val="00473F30"/>
    <w:rsid w:val="0048591A"/>
    <w:rsid w:val="00486D86"/>
    <w:rsid w:val="0048721A"/>
    <w:rsid w:val="0048779F"/>
    <w:rsid w:val="004A0BD5"/>
    <w:rsid w:val="004A1BBF"/>
    <w:rsid w:val="004A73E5"/>
    <w:rsid w:val="004C19BF"/>
    <w:rsid w:val="004D7640"/>
    <w:rsid w:val="004E1A9B"/>
    <w:rsid w:val="00500AB6"/>
    <w:rsid w:val="00505E59"/>
    <w:rsid w:val="005155FB"/>
    <w:rsid w:val="00523907"/>
    <w:rsid w:val="00534949"/>
    <w:rsid w:val="00537C53"/>
    <w:rsid w:val="00542CCB"/>
    <w:rsid w:val="005438F5"/>
    <w:rsid w:val="00544901"/>
    <w:rsid w:val="00546465"/>
    <w:rsid w:val="005474D3"/>
    <w:rsid w:val="00550737"/>
    <w:rsid w:val="00555DD2"/>
    <w:rsid w:val="00565ED9"/>
    <w:rsid w:val="005760C6"/>
    <w:rsid w:val="00585A1B"/>
    <w:rsid w:val="00591260"/>
    <w:rsid w:val="00591314"/>
    <w:rsid w:val="00593D40"/>
    <w:rsid w:val="00595F1B"/>
    <w:rsid w:val="005A3BE0"/>
    <w:rsid w:val="005A74B0"/>
    <w:rsid w:val="005B1026"/>
    <w:rsid w:val="005B1AA8"/>
    <w:rsid w:val="005B642F"/>
    <w:rsid w:val="005C04C1"/>
    <w:rsid w:val="005C1785"/>
    <w:rsid w:val="005D2D87"/>
    <w:rsid w:val="005D6A09"/>
    <w:rsid w:val="005E2B4B"/>
    <w:rsid w:val="005E5F63"/>
    <w:rsid w:val="005E6BA1"/>
    <w:rsid w:val="006030A0"/>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03B5"/>
    <w:rsid w:val="006B661A"/>
    <w:rsid w:val="006B7D00"/>
    <w:rsid w:val="006C6BC5"/>
    <w:rsid w:val="006D61A2"/>
    <w:rsid w:val="006E1DB4"/>
    <w:rsid w:val="007270C5"/>
    <w:rsid w:val="00753DB6"/>
    <w:rsid w:val="00763847"/>
    <w:rsid w:val="00771FE3"/>
    <w:rsid w:val="00776BDE"/>
    <w:rsid w:val="007808F5"/>
    <w:rsid w:val="00786870"/>
    <w:rsid w:val="00792237"/>
    <w:rsid w:val="0079272A"/>
    <w:rsid w:val="007A1DA9"/>
    <w:rsid w:val="007B2252"/>
    <w:rsid w:val="007B79D9"/>
    <w:rsid w:val="007C67B1"/>
    <w:rsid w:val="007D56E3"/>
    <w:rsid w:val="007D5A3D"/>
    <w:rsid w:val="007E056E"/>
    <w:rsid w:val="007E354A"/>
    <w:rsid w:val="007E69C8"/>
    <w:rsid w:val="0080525B"/>
    <w:rsid w:val="008062C5"/>
    <w:rsid w:val="0080741A"/>
    <w:rsid w:val="008130C0"/>
    <w:rsid w:val="00814B5B"/>
    <w:rsid w:val="00833A51"/>
    <w:rsid w:val="00836F34"/>
    <w:rsid w:val="00843E73"/>
    <w:rsid w:val="0084462D"/>
    <w:rsid w:val="00844EBF"/>
    <w:rsid w:val="00854F61"/>
    <w:rsid w:val="00862FD2"/>
    <w:rsid w:val="00864202"/>
    <w:rsid w:val="0086589A"/>
    <w:rsid w:val="00873B59"/>
    <w:rsid w:val="0087701F"/>
    <w:rsid w:val="0089283D"/>
    <w:rsid w:val="008A0ADC"/>
    <w:rsid w:val="008A1BAB"/>
    <w:rsid w:val="008B38B7"/>
    <w:rsid w:val="008B458E"/>
    <w:rsid w:val="008C4D4A"/>
    <w:rsid w:val="008E11AE"/>
    <w:rsid w:val="008E1708"/>
    <w:rsid w:val="008E21F2"/>
    <w:rsid w:val="008E4844"/>
    <w:rsid w:val="00904492"/>
    <w:rsid w:val="00904DFB"/>
    <w:rsid w:val="0091457B"/>
    <w:rsid w:val="00923763"/>
    <w:rsid w:val="00930ED6"/>
    <w:rsid w:val="0093293F"/>
    <w:rsid w:val="00933105"/>
    <w:rsid w:val="009474EF"/>
    <w:rsid w:val="00962626"/>
    <w:rsid w:val="00964DB8"/>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4EED"/>
    <w:rsid w:val="00A25553"/>
    <w:rsid w:val="00A25AEE"/>
    <w:rsid w:val="00A31EB1"/>
    <w:rsid w:val="00A33AEA"/>
    <w:rsid w:val="00A461CD"/>
    <w:rsid w:val="00A469C5"/>
    <w:rsid w:val="00A5317D"/>
    <w:rsid w:val="00A558D6"/>
    <w:rsid w:val="00A61419"/>
    <w:rsid w:val="00A6284E"/>
    <w:rsid w:val="00A63E81"/>
    <w:rsid w:val="00A8775A"/>
    <w:rsid w:val="00AA5998"/>
    <w:rsid w:val="00AB07E7"/>
    <w:rsid w:val="00AD1BA8"/>
    <w:rsid w:val="00AD6F29"/>
    <w:rsid w:val="00B02A29"/>
    <w:rsid w:val="00B03522"/>
    <w:rsid w:val="00B04AD6"/>
    <w:rsid w:val="00B06A9D"/>
    <w:rsid w:val="00B14CAA"/>
    <w:rsid w:val="00B16F86"/>
    <w:rsid w:val="00B257CE"/>
    <w:rsid w:val="00B257DA"/>
    <w:rsid w:val="00B4746C"/>
    <w:rsid w:val="00B52F62"/>
    <w:rsid w:val="00B65354"/>
    <w:rsid w:val="00B71A0E"/>
    <w:rsid w:val="00B81765"/>
    <w:rsid w:val="00B832F5"/>
    <w:rsid w:val="00BA2FAB"/>
    <w:rsid w:val="00BB5E28"/>
    <w:rsid w:val="00BD15F3"/>
    <w:rsid w:val="00BD7986"/>
    <w:rsid w:val="00BD79D3"/>
    <w:rsid w:val="00BF2CD8"/>
    <w:rsid w:val="00C04F82"/>
    <w:rsid w:val="00C15AC0"/>
    <w:rsid w:val="00C227FD"/>
    <w:rsid w:val="00C26030"/>
    <w:rsid w:val="00C35360"/>
    <w:rsid w:val="00C41091"/>
    <w:rsid w:val="00C63056"/>
    <w:rsid w:val="00C661D1"/>
    <w:rsid w:val="00C775BA"/>
    <w:rsid w:val="00C85331"/>
    <w:rsid w:val="00C85A50"/>
    <w:rsid w:val="00C94D46"/>
    <w:rsid w:val="00CA13D0"/>
    <w:rsid w:val="00CA443A"/>
    <w:rsid w:val="00CB2461"/>
    <w:rsid w:val="00CB37FD"/>
    <w:rsid w:val="00CC4D65"/>
    <w:rsid w:val="00CC61E7"/>
    <w:rsid w:val="00CC6432"/>
    <w:rsid w:val="00CD25AD"/>
    <w:rsid w:val="00CD30D0"/>
    <w:rsid w:val="00CD3FFC"/>
    <w:rsid w:val="00CD4906"/>
    <w:rsid w:val="00CF565C"/>
    <w:rsid w:val="00D016A3"/>
    <w:rsid w:val="00D143E9"/>
    <w:rsid w:val="00D341BB"/>
    <w:rsid w:val="00D512E3"/>
    <w:rsid w:val="00D602C9"/>
    <w:rsid w:val="00D61826"/>
    <w:rsid w:val="00D62AEA"/>
    <w:rsid w:val="00D671D5"/>
    <w:rsid w:val="00D756DE"/>
    <w:rsid w:val="00D92BCA"/>
    <w:rsid w:val="00DA26A9"/>
    <w:rsid w:val="00DB01FF"/>
    <w:rsid w:val="00DC7778"/>
    <w:rsid w:val="00DE490F"/>
    <w:rsid w:val="00DE7391"/>
    <w:rsid w:val="00DF2DB5"/>
    <w:rsid w:val="00DF6560"/>
    <w:rsid w:val="00E04CC0"/>
    <w:rsid w:val="00E136FF"/>
    <w:rsid w:val="00E32528"/>
    <w:rsid w:val="00E35F26"/>
    <w:rsid w:val="00E36593"/>
    <w:rsid w:val="00E52FA1"/>
    <w:rsid w:val="00E53165"/>
    <w:rsid w:val="00E61EF7"/>
    <w:rsid w:val="00E663B4"/>
    <w:rsid w:val="00E80CEB"/>
    <w:rsid w:val="00E87A03"/>
    <w:rsid w:val="00E96ABB"/>
    <w:rsid w:val="00EA5103"/>
    <w:rsid w:val="00EA6FB9"/>
    <w:rsid w:val="00EB5E6A"/>
    <w:rsid w:val="00EC2AD7"/>
    <w:rsid w:val="00ED7DE0"/>
    <w:rsid w:val="00EE0A97"/>
    <w:rsid w:val="00EE7891"/>
    <w:rsid w:val="00EF49FE"/>
    <w:rsid w:val="00EF5341"/>
    <w:rsid w:val="00F04908"/>
    <w:rsid w:val="00F07C21"/>
    <w:rsid w:val="00F12EF6"/>
    <w:rsid w:val="00F21065"/>
    <w:rsid w:val="00F24CB4"/>
    <w:rsid w:val="00F43465"/>
    <w:rsid w:val="00F45475"/>
    <w:rsid w:val="00F4592F"/>
    <w:rsid w:val="00F64E72"/>
    <w:rsid w:val="00F70C7D"/>
    <w:rsid w:val="00F9272E"/>
    <w:rsid w:val="00F97743"/>
    <w:rsid w:val="00FA3E8F"/>
    <w:rsid w:val="00FA6DAF"/>
    <w:rsid w:val="00FA7E6E"/>
    <w:rsid w:val="00FC08C2"/>
    <w:rsid w:val="00FC6884"/>
    <w:rsid w:val="00FE62F3"/>
    <w:rsid w:val="00FF34B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5AB1C"/>
  <w15:docId w15:val="{5A09FEC8-E225-4A94-B40A-C974A805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FA7E6E"/>
    <w:rPr>
      <w:sz w:val="21"/>
      <w:szCs w:val="21"/>
    </w:rPr>
  </w:style>
  <w:style w:type="paragraph" w:styleId="a8">
    <w:name w:val="annotation text"/>
    <w:basedOn w:val="a"/>
    <w:link w:val="a9"/>
    <w:rsid w:val="00FA7E6E"/>
    <w:pPr>
      <w:jc w:val="left"/>
    </w:pPr>
  </w:style>
  <w:style w:type="character" w:customStyle="1" w:styleId="a9">
    <w:name w:val="批注文字 字符"/>
    <w:basedOn w:val="a0"/>
    <w:link w:val="a8"/>
    <w:rsid w:val="00FA7E6E"/>
    <w:rPr>
      <w:kern w:val="2"/>
      <w:sz w:val="21"/>
      <w:szCs w:val="24"/>
    </w:rPr>
  </w:style>
  <w:style w:type="paragraph" w:styleId="aa">
    <w:name w:val="annotation subject"/>
    <w:basedOn w:val="a8"/>
    <w:next w:val="a8"/>
    <w:link w:val="ab"/>
    <w:rsid w:val="00FA7E6E"/>
    <w:rPr>
      <w:b/>
      <w:bCs/>
    </w:rPr>
  </w:style>
  <w:style w:type="character" w:customStyle="1" w:styleId="ab">
    <w:name w:val="批注主题 字符"/>
    <w:basedOn w:val="a9"/>
    <w:link w:val="aa"/>
    <w:rsid w:val="00FA7E6E"/>
    <w:rPr>
      <w:b/>
      <w:bCs/>
      <w:kern w:val="2"/>
      <w:sz w:val="21"/>
      <w:szCs w:val="24"/>
    </w:rPr>
  </w:style>
  <w:style w:type="paragraph" w:styleId="ac">
    <w:name w:val="Revision"/>
    <w:hidden/>
    <w:uiPriority w:val="99"/>
    <w:unhideWhenUsed/>
    <w:rsid w:val="008E21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1470</Characters>
  <Application>Microsoft Office Word</Application>
  <DocSecurity>0</DocSecurity>
  <Lines>12</Lines>
  <Paragraphs>3</Paragraphs>
  <ScaleCrop>false</ScaleCrop>
  <Company>微软中国</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黄日文</cp:lastModifiedBy>
  <cp:revision>3</cp:revision>
  <cp:lastPrinted>2014-02-21T05:34:00Z</cp:lastPrinted>
  <dcterms:created xsi:type="dcterms:W3CDTF">2026-04-29T10:32:00Z</dcterms:created>
  <dcterms:modified xsi:type="dcterms:W3CDTF">2026-04-29T11:21:00Z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