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2687" w14:textId="7DB8F7C0" w:rsidR="008E5D0E" w:rsidRPr="007B50F5" w:rsidRDefault="008E5D0E" w:rsidP="008E5D0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bookmarkStart w:id="0" w:name="_Hlk135225506"/>
      <w:r w:rsidRPr="007B50F5">
        <w:rPr>
          <w:rFonts w:ascii="宋体" w:eastAsia="宋体" w:hAnsi="宋体" w:hint="eastAsia"/>
          <w:sz w:val="24"/>
          <w:szCs w:val="28"/>
        </w:rPr>
        <w:t>证券代码：</w:t>
      </w:r>
      <w:r>
        <w:rPr>
          <w:rFonts w:ascii="宋体" w:eastAsia="宋体" w:hAnsi="宋体" w:hint="eastAsia"/>
          <w:sz w:val="24"/>
          <w:szCs w:val="28"/>
        </w:rPr>
        <w:t>6</w:t>
      </w:r>
      <w:r>
        <w:rPr>
          <w:rFonts w:ascii="宋体" w:eastAsia="宋体" w:hAnsi="宋体"/>
          <w:sz w:val="24"/>
          <w:szCs w:val="28"/>
        </w:rPr>
        <w:t>00790</w:t>
      </w:r>
      <w:r w:rsidRPr="007B50F5">
        <w:rPr>
          <w:rFonts w:ascii="宋体" w:eastAsia="宋体" w:hAnsi="宋体" w:hint="eastAsia"/>
          <w:sz w:val="24"/>
          <w:szCs w:val="28"/>
        </w:rPr>
        <w:t xml:space="preserve"> </w:t>
      </w:r>
      <w:r w:rsidRPr="007B50F5">
        <w:rPr>
          <w:rFonts w:ascii="宋体" w:eastAsia="宋体" w:hAnsi="宋体"/>
          <w:sz w:val="24"/>
          <w:szCs w:val="28"/>
        </w:rPr>
        <w:t xml:space="preserve">                            </w:t>
      </w:r>
      <w:r w:rsidRPr="007B50F5">
        <w:rPr>
          <w:rFonts w:ascii="宋体" w:eastAsia="宋体" w:hAnsi="宋体" w:hint="eastAsia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轻纺城</w:t>
      </w:r>
    </w:p>
    <w:bookmarkEnd w:id="0"/>
    <w:p w14:paraId="7CC6D4B8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72DB8237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6A1F5D0E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6"/>
          <w:szCs w:val="40"/>
        </w:rPr>
      </w:pPr>
      <w:bookmarkStart w:id="1" w:name="_Hlk135225512"/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浙江中国轻纺城集团股份有限公司</w:t>
      </w:r>
    </w:p>
    <w:p w14:paraId="5041E3A3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2"/>
          <w:szCs w:val="36"/>
        </w:rPr>
      </w:pPr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投资者关系活动记录表</w:t>
      </w:r>
    </w:p>
    <w:p w14:paraId="462699D3" w14:textId="125CE4CD" w:rsidR="008E5D0E" w:rsidRPr="008E5D0E" w:rsidRDefault="008E5D0E" w:rsidP="008E5D0E">
      <w:pPr>
        <w:jc w:val="right"/>
        <w:rPr>
          <w:rFonts w:ascii="宋体" w:eastAsia="宋体" w:hAnsi="宋体" w:hint="eastAsia"/>
          <w:sz w:val="24"/>
          <w:szCs w:val="28"/>
        </w:rPr>
      </w:pPr>
      <w:bookmarkStart w:id="2" w:name="_Hlk135225535"/>
      <w:bookmarkEnd w:id="1"/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 w:rsidR="0015432B">
        <w:rPr>
          <w:rFonts w:ascii="宋体" w:eastAsia="宋体" w:hAnsi="宋体"/>
          <w:sz w:val="24"/>
          <w:szCs w:val="28"/>
        </w:rPr>
        <w:t xml:space="preserve">  </w:t>
      </w:r>
      <w:r w:rsidRPr="007B50F5">
        <w:rPr>
          <w:rFonts w:ascii="宋体" w:eastAsia="宋体" w:hAnsi="宋体" w:hint="eastAsia"/>
          <w:sz w:val="24"/>
          <w:szCs w:val="28"/>
        </w:rPr>
        <w:t>编号：</w:t>
      </w:r>
      <w:bookmarkEnd w:id="2"/>
      <w:r w:rsidR="008D2C4C">
        <w:rPr>
          <w:rFonts w:ascii="宋体" w:eastAsia="宋体" w:hAnsi="宋体" w:hint="eastAsia"/>
          <w:sz w:val="24"/>
          <w:szCs w:val="28"/>
        </w:rPr>
        <w:t>2</w:t>
      </w:r>
      <w:r w:rsidR="008D2C4C">
        <w:rPr>
          <w:rFonts w:ascii="宋体" w:eastAsia="宋体" w:hAnsi="宋体"/>
          <w:sz w:val="24"/>
          <w:szCs w:val="28"/>
        </w:rPr>
        <w:t>02</w:t>
      </w:r>
      <w:r w:rsidR="00AD7410">
        <w:rPr>
          <w:rFonts w:ascii="宋体" w:eastAsia="宋体" w:hAnsi="宋体" w:hint="eastAsia"/>
          <w:sz w:val="24"/>
          <w:szCs w:val="28"/>
        </w:rPr>
        <w:t>6</w:t>
      </w:r>
      <w:r w:rsidR="008D2C4C">
        <w:rPr>
          <w:rFonts w:ascii="宋体" w:eastAsia="宋体" w:hAnsi="宋体"/>
          <w:sz w:val="24"/>
          <w:szCs w:val="28"/>
        </w:rPr>
        <w:t>-</w:t>
      </w:r>
      <w:r w:rsidR="00AD7410">
        <w:rPr>
          <w:rFonts w:ascii="宋体" w:eastAsia="宋体" w:hAnsi="宋体" w:hint="eastAsia"/>
          <w:sz w:val="24"/>
          <w:szCs w:val="28"/>
        </w:rPr>
        <w:t>00</w:t>
      </w:r>
      <w:r w:rsidR="00F23AA2">
        <w:rPr>
          <w:rFonts w:ascii="宋体" w:eastAsia="宋体" w:hAnsi="宋体" w:hint="eastAsia"/>
          <w:sz w:val="24"/>
          <w:szCs w:val="28"/>
        </w:rPr>
        <w:t>2</w:t>
      </w:r>
    </w:p>
    <w:tbl>
      <w:tblPr>
        <w:tblW w:w="94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7661"/>
      </w:tblGrid>
      <w:tr w:rsidR="008E5D0E" w:rsidRPr="007B50F5" w14:paraId="5CB333AE" w14:textId="77777777" w:rsidTr="00B71ED0">
        <w:trPr>
          <w:trHeight w:val="145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A3A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0431676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8C17C38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8B6" w14:textId="4345C785" w:rsidR="00B10F4C" w:rsidRPr="00B10F4C" w:rsidRDefault="00931FB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bookmarkStart w:id="3" w:name="OLE_LINK2"/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bookmarkEnd w:id="3"/>
            <w:r w:rsidR="00B10F4C" w:rsidRPr="00B10F4C">
              <w:rPr>
                <w:rFonts w:ascii="宋体" w:eastAsia="宋体" w:hAnsi="宋体" w:hint="eastAsia"/>
                <w:sz w:val="24"/>
              </w:rPr>
              <w:t xml:space="preserve">特定对象调研        </w:t>
            </w:r>
            <w:r w:rsidR="00191947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分析师会议</w:t>
            </w:r>
          </w:p>
          <w:p w14:paraId="68C3A78A" w14:textId="118D9EA7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媒体采访            </w:t>
            </w:r>
            <w:r w:rsidR="00DC0765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业绩说明会</w:t>
            </w:r>
          </w:p>
          <w:p w14:paraId="34FF48DA" w14:textId="37890BF9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新闻发布会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路演活动</w:t>
            </w:r>
          </w:p>
          <w:p w14:paraId="58A568D2" w14:textId="2F73A664" w:rsidR="008E5D0E" w:rsidRPr="00B10F4C" w:rsidRDefault="00F23AA2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现场参观</w:t>
            </w:r>
            <w:r w:rsidR="00B10F4C" w:rsidRPr="00B10F4C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     </w:t>
            </w:r>
            <w:r w:rsidR="00191947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8E5D0E" w:rsidRPr="007B50F5" w14:paraId="1372F9B8" w14:textId="77777777" w:rsidTr="00B71ED0">
        <w:trPr>
          <w:trHeight w:val="8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8090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639AF2CC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C056" w14:textId="77777777" w:rsidR="00DD4ADE" w:rsidRDefault="00DD4ADE" w:rsidP="00AC0D6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4A6157D2" w14:textId="012E0906" w:rsidR="008E5D0E" w:rsidRPr="007B50F5" w:rsidRDefault="008D2C4C" w:rsidP="0054641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bookmarkStart w:id="4" w:name="OLE_LINK3"/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02</w:t>
            </w:r>
            <w:r w:rsidR="00187EE3">
              <w:rPr>
                <w:rFonts w:ascii="宋体" w:eastAsia="宋体" w:hAnsi="宋体" w:hint="eastAsia"/>
                <w:sz w:val="24"/>
                <w:szCs w:val="28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2669A2">
              <w:rPr>
                <w:rFonts w:ascii="宋体" w:eastAsia="宋体" w:hAnsi="宋体" w:hint="eastAsia"/>
                <w:sz w:val="24"/>
                <w:szCs w:val="28"/>
              </w:rPr>
              <w:t>29日、</w:t>
            </w:r>
            <w:bookmarkEnd w:id="4"/>
            <w:r w:rsidR="002669A2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="002669A2">
              <w:rPr>
                <w:rFonts w:ascii="宋体" w:eastAsia="宋体" w:hAnsi="宋体"/>
                <w:sz w:val="24"/>
                <w:szCs w:val="28"/>
              </w:rPr>
              <w:t>02</w:t>
            </w:r>
            <w:r w:rsidR="002669A2">
              <w:rPr>
                <w:rFonts w:ascii="宋体" w:eastAsia="宋体" w:hAnsi="宋体" w:hint="eastAsia"/>
                <w:sz w:val="24"/>
                <w:szCs w:val="28"/>
              </w:rPr>
              <w:t>6年4月30日</w:t>
            </w:r>
          </w:p>
        </w:tc>
      </w:tr>
      <w:tr w:rsidR="008E5D0E" w:rsidRPr="007B50F5" w14:paraId="05544B33" w14:textId="77777777" w:rsidTr="00B71ED0">
        <w:trPr>
          <w:trHeight w:val="95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53D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56FA0D6" w14:textId="4DA86EA6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参与单位名称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80702" w14:textId="5343BCEA" w:rsidR="00B76319" w:rsidRDefault="00B71ED0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申万宏</w:t>
            </w:r>
            <w:proofErr w:type="gramEnd"/>
            <w:r w:rsidRPr="00B71ED0">
              <w:rPr>
                <w:rFonts w:ascii="宋体" w:eastAsia="宋体" w:hAnsi="宋体" w:hint="eastAsia"/>
                <w:sz w:val="24"/>
                <w:szCs w:val="28"/>
              </w:rPr>
              <w:t>源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F23AA2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申万菱</w:t>
            </w:r>
            <w:proofErr w:type="gramEnd"/>
            <w:r w:rsidRPr="00B71ED0">
              <w:rPr>
                <w:rFonts w:ascii="宋体" w:eastAsia="宋体" w:hAnsi="宋体" w:hint="eastAsia"/>
                <w:sz w:val="24"/>
                <w:szCs w:val="28"/>
              </w:rPr>
              <w:t>信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国都证券</w:t>
            </w:r>
          </w:p>
          <w:p w14:paraId="6B6CA373" w14:textId="41EF4A9A" w:rsidR="00EC3AAA" w:rsidRDefault="00B71ED0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B71ED0">
              <w:rPr>
                <w:rFonts w:ascii="宋体" w:eastAsia="宋体" w:hAnsi="宋体" w:hint="eastAsia"/>
                <w:sz w:val="24"/>
                <w:szCs w:val="28"/>
              </w:rPr>
              <w:t>平安养老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国投瑞银</w:t>
            </w:r>
            <w:proofErr w:type="gramEnd"/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安信基金</w:t>
            </w:r>
          </w:p>
          <w:p w14:paraId="68F4DB19" w14:textId="68B34F1F" w:rsidR="00EC3AAA" w:rsidRDefault="00B71ED0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B71ED0">
              <w:rPr>
                <w:rFonts w:ascii="宋体" w:eastAsia="宋体" w:hAnsi="宋体" w:hint="eastAsia"/>
                <w:sz w:val="24"/>
                <w:szCs w:val="28"/>
              </w:rPr>
              <w:t>中信资管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浦银安</w:t>
            </w:r>
            <w:proofErr w:type="gramEnd"/>
            <w:r w:rsidRPr="00B71ED0">
              <w:rPr>
                <w:rFonts w:ascii="宋体" w:eastAsia="宋体" w:hAnsi="宋体" w:hint="eastAsia"/>
                <w:sz w:val="24"/>
                <w:szCs w:val="28"/>
              </w:rPr>
              <w:t>盛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国泰海通</w:t>
            </w:r>
            <w:proofErr w:type="gramEnd"/>
          </w:p>
          <w:p w14:paraId="0C4A2D40" w14:textId="140DD6D5" w:rsidR="00EC3AAA" w:rsidRDefault="00B71ED0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国寿安保</w:t>
            </w:r>
            <w:proofErr w:type="gramEnd"/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国泰基金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招商基金</w:t>
            </w:r>
          </w:p>
          <w:p w14:paraId="0E36A4B3" w14:textId="71F75788" w:rsidR="00EC3AAA" w:rsidRDefault="00B71ED0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bookmarkStart w:id="5" w:name="OLE_LINK1"/>
            <w:r w:rsidRPr="00B71ED0">
              <w:rPr>
                <w:rFonts w:ascii="宋体" w:eastAsia="宋体" w:hAnsi="宋体" w:hint="eastAsia"/>
                <w:sz w:val="24"/>
                <w:szCs w:val="28"/>
              </w:rPr>
              <w:t>中泰证券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霄</w:t>
            </w: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沣</w:t>
            </w:r>
            <w:proofErr w:type="gramEnd"/>
            <w:r w:rsidRPr="00B71ED0">
              <w:rPr>
                <w:rFonts w:ascii="宋体" w:eastAsia="宋体" w:hAnsi="宋体" w:hint="eastAsia"/>
                <w:sz w:val="24"/>
                <w:szCs w:val="28"/>
              </w:rPr>
              <w:t>投资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中信证券</w:t>
            </w:r>
          </w:p>
          <w:p w14:paraId="5CD6CA7C" w14:textId="38E5F86A" w:rsidR="00EC3AAA" w:rsidRDefault="005857B1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世纪证券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EC3AAA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proofErr w:type="gramStart"/>
            <w:r w:rsidR="00B71ED0" w:rsidRPr="00B71ED0">
              <w:rPr>
                <w:rFonts w:ascii="宋体" w:eastAsia="宋体" w:hAnsi="宋体" w:hint="eastAsia"/>
                <w:sz w:val="24"/>
                <w:szCs w:val="28"/>
              </w:rPr>
              <w:t>浙商证券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B71ED0" w:rsidRPr="00B71ED0">
              <w:rPr>
                <w:rFonts w:ascii="宋体" w:eastAsia="宋体" w:hAnsi="宋体" w:hint="eastAsia"/>
                <w:sz w:val="24"/>
                <w:szCs w:val="28"/>
              </w:rPr>
              <w:t>富纳</w:t>
            </w:r>
            <w:proofErr w:type="gramEnd"/>
            <w:r w:rsidR="00B71ED0" w:rsidRPr="00B71ED0">
              <w:rPr>
                <w:rFonts w:ascii="宋体" w:eastAsia="宋体" w:hAnsi="宋体" w:hint="eastAsia"/>
                <w:sz w:val="24"/>
                <w:szCs w:val="28"/>
              </w:rPr>
              <w:t>投资</w:t>
            </w:r>
          </w:p>
          <w:p w14:paraId="03B0129F" w14:textId="6977C5A9" w:rsidR="005857B1" w:rsidRDefault="00B71ED0" w:rsidP="00B76319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B71ED0">
              <w:rPr>
                <w:rFonts w:ascii="宋体" w:eastAsia="宋体" w:hAnsi="宋体" w:hint="eastAsia"/>
                <w:sz w:val="24"/>
                <w:szCs w:val="28"/>
              </w:rPr>
              <w:t>瑞华投资</w:t>
            </w:r>
            <w:r w:rsidR="005857B1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5857B1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国金证券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Pr="00B71ED0">
              <w:rPr>
                <w:rFonts w:ascii="宋体" w:eastAsia="宋体" w:hAnsi="宋体" w:hint="eastAsia"/>
                <w:sz w:val="24"/>
                <w:szCs w:val="28"/>
              </w:rPr>
              <w:t>东方证券</w:t>
            </w:r>
            <w:bookmarkEnd w:id="5"/>
          </w:p>
          <w:p w14:paraId="14C71882" w14:textId="32E6C55A" w:rsidR="00B71ED0" w:rsidRDefault="00B71ED0" w:rsidP="00B71ED0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B71ED0">
              <w:rPr>
                <w:rFonts w:ascii="宋体" w:eastAsia="宋体" w:hAnsi="宋体" w:hint="eastAsia"/>
                <w:sz w:val="24"/>
                <w:szCs w:val="28"/>
              </w:rPr>
              <w:t>天</w:t>
            </w:r>
            <w:proofErr w:type="gramStart"/>
            <w:r w:rsidRPr="00B71ED0">
              <w:rPr>
                <w:rFonts w:ascii="宋体" w:eastAsia="宋体" w:hAnsi="宋体" w:hint="eastAsia"/>
                <w:sz w:val="24"/>
                <w:szCs w:val="28"/>
              </w:rPr>
              <w:t>治基金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025A38" w:rsidRPr="00025A38">
              <w:rPr>
                <w:rFonts w:ascii="宋体" w:eastAsia="宋体" w:hAnsi="宋体" w:hint="eastAsia"/>
                <w:sz w:val="24"/>
                <w:szCs w:val="28"/>
              </w:rPr>
              <w:t>银河证券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025A38" w:rsidRPr="00025A38">
              <w:rPr>
                <w:rFonts w:ascii="宋体" w:eastAsia="宋体" w:hAnsi="宋体" w:hint="eastAsia"/>
                <w:sz w:val="24"/>
                <w:szCs w:val="28"/>
              </w:rPr>
              <w:t>国海证券</w:t>
            </w:r>
          </w:p>
          <w:p w14:paraId="367A1A6B" w14:textId="5A2DE92E" w:rsidR="00B71ED0" w:rsidRPr="007B50F5" w:rsidRDefault="00025A38" w:rsidP="00B71ED0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025A38">
              <w:rPr>
                <w:rFonts w:ascii="宋体" w:eastAsia="宋体" w:hAnsi="宋体" w:hint="eastAsia"/>
                <w:sz w:val="24"/>
                <w:szCs w:val="28"/>
              </w:rPr>
              <w:t>开源证券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B71ED0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proofErr w:type="gramStart"/>
            <w:r w:rsidRPr="00025A38">
              <w:rPr>
                <w:rFonts w:ascii="宋体" w:eastAsia="宋体" w:hAnsi="宋体" w:hint="eastAsia"/>
                <w:sz w:val="24"/>
                <w:szCs w:val="28"/>
              </w:rPr>
              <w:t>创金合</w:t>
            </w:r>
            <w:proofErr w:type="gramEnd"/>
            <w:r w:rsidRPr="00025A38">
              <w:rPr>
                <w:rFonts w:ascii="宋体" w:eastAsia="宋体" w:hAnsi="宋体" w:hint="eastAsia"/>
                <w:sz w:val="24"/>
                <w:szCs w:val="28"/>
              </w:rPr>
              <w:t>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proofErr w:type="gramStart"/>
            <w:r w:rsidRPr="00025A38">
              <w:rPr>
                <w:rFonts w:ascii="宋体" w:eastAsia="宋体" w:hAnsi="宋体" w:hint="eastAsia"/>
                <w:sz w:val="24"/>
                <w:szCs w:val="28"/>
              </w:rPr>
              <w:t>海富通</w:t>
            </w:r>
            <w:proofErr w:type="gramEnd"/>
          </w:p>
        </w:tc>
      </w:tr>
      <w:tr w:rsidR="008E5D0E" w:rsidRPr="007B50F5" w14:paraId="199CD862" w14:textId="77777777" w:rsidTr="00B71ED0">
        <w:trPr>
          <w:trHeight w:val="89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7EE0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470E5A8" w14:textId="2F6A40D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6C" w14:textId="33B7C931" w:rsidR="008E5D0E" w:rsidRPr="007B50F5" w:rsidRDefault="008E5D0E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8E5D0E" w:rsidRPr="007B50F5" w14:paraId="42DF512B" w14:textId="77777777" w:rsidTr="00B71ED0">
        <w:trPr>
          <w:trHeight w:val="7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A67" w14:textId="61495A2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上市公司</w:t>
            </w:r>
          </w:p>
          <w:p w14:paraId="1438811B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接待人员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8F" w14:textId="4344E6A1" w:rsidR="008E5D0E" w:rsidRPr="007B50F5" w:rsidRDefault="00100369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100369">
              <w:rPr>
                <w:rFonts w:ascii="宋体" w:eastAsia="宋体" w:hAnsi="宋体" w:hint="eastAsia"/>
                <w:sz w:val="24"/>
                <w:szCs w:val="28"/>
              </w:rPr>
              <w:t>董事会秘书：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钱自强</w:t>
            </w:r>
            <w:r w:rsidR="00B76319" w:rsidRPr="007B50F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A03394" w:rsidRPr="007B50F5" w14:paraId="484E1219" w14:textId="77777777" w:rsidTr="00B71ED0">
        <w:trPr>
          <w:trHeight w:val="7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AE02" w14:textId="2B6A7DC2" w:rsidR="00A03394" w:rsidRPr="007B50F5" w:rsidRDefault="00A03394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投资者关系活动主要内容记录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74D0" w14:textId="1C142ABE" w:rsidR="00A03394" w:rsidRPr="004977DC" w:rsidRDefault="00A03394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1．</w:t>
            </w:r>
            <w:r w:rsidR="00025A3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公司2025年利润出现</w:t>
            </w:r>
            <w:r w:rsidR="002E7CBD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大幅下滑主要受什么影响</w:t>
            </w:r>
            <w:r w:rsidR="002E7CBD">
              <w:rPr>
                <w:rFonts w:ascii="宋体" w:eastAsia="宋体" w:hAnsi="宋体" w:hint="eastAsia"/>
                <w:sz w:val="24"/>
                <w:szCs w:val="28"/>
              </w:rPr>
              <w:t>？</w:t>
            </w:r>
          </w:p>
          <w:p w14:paraId="55234FF3" w14:textId="576A2A68" w:rsidR="00A03394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4977DC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2E7CBD">
              <w:rPr>
                <w:rFonts w:ascii="宋体" w:eastAsia="宋体" w:hAnsi="宋体" w:hint="eastAsia"/>
                <w:sz w:val="24"/>
                <w:szCs w:val="28"/>
              </w:rPr>
              <w:t>公司2025年利润下滑主要因为对</w:t>
            </w:r>
            <w:r w:rsidR="002E7CBD" w:rsidRPr="002E7CBD">
              <w:rPr>
                <w:rFonts w:ascii="宋体" w:eastAsia="宋体" w:hAnsi="宋体" w:hint="eastAsia"/>
                <w:sz w:val="24"/>
                <w:szCs w:val="28"/>
              </w:rPr>
              <w:t>国际物流中心剩余拆迁补偿款计提了资产减值准备</w:t>
            </w:r>
            <w:r w:rsidR="002E7CBD">
              <w:rPr>
                <w:rFonts w:ascii="宋体" w:eastAsia="宋体" w:hAnsi="宋体" w:hint="eastAsia"/>
                <w:sz w:val="24"/>
                <w:szCs w:val="28"/>
              </w:rPr>
              <w:t>，坏账计提比例上升，</w:t>
            </w:r>
            <w:r w:rsidR="002E7CBD" w:rsidRPr="002E7CBD">
              <w:rPr>
                <w:rFonts w:ascii="宋体" w:eastAsia="宋体" w:hAnsi="宋体" w:hint="eastAsia"/>
                <w:sz w:val="24"/>
                <w:szCs w:val="28"/>
              </w:rPr>
              <w:t>该项非现金损失直接冲减了当期利润</w:t>
            </w:r>
            <w:r w:rsidR="002E7CBD">
              <w:rPr>
                <w:rFonts w:ascii="宋体" w:eastAsia="宋体" w:hAnsi="宋体" w:hint="eastAsia"/>
                <w:sz w:val="24"/>
                <w:szCs w:val="28"/>
              </w:rPr>
              <w:t>，此外叠加营业房租金减少、资产折旧摊销增加等</w:t>
            </w:r>
            <w:r w:rsidR="00172545">
              <w:rPr>
                <w:rFonts w:ascii="宋体" w:eastAsia="宋体" w:hAnsi="宋体" w:hint="eastAsia"/>
                <w:sz w:val="24"/>
                <w:szCs w:val="28"/>
              </w:rPr>
              <w:t>因素，</w:t>
            </w:r>
            <w:r w:rsidR="00172545" w:rsidRPr="00172545">
              <w:rPr>
                <w:rFonts w:ascii="宋体" w:eastAsia="宋体" w:hAnsi="宋体" w:hint="eastAsia"/>
                <w:sz w:val="24"/>
                <w:szCs w:val="28"/>
              </w:rPr>
              <w:t>共同导致公司2025年利润总额出现较大幅度下降。其中，拆迁补偿款的坏账计提是冲击最大的单因素。公司主业</w:t>
            </w:r>
            <w:r w:rsidR="00172545">
              <w:rPr>
                <w:rFonts w:ascii="宋体" w:eastAsia="宋体" w:hAnsi="宋体" w:hint="eastAsia"/>
                <w:sz w:val="24"/>
                <w:szCs w:val="28"/>
              </w:rPr>
              <w:t>目前</w:t>
            </w:r>
            <w:r w:rsidR="00172545" w:rsidRPr="00172545">
              <w:rPr>
                <w:rFonts w:ascii="宋体" w:eastAsia="宋体" w:hAnsi="宋体" w:hint="eastAsia"/>
                <w:sz w:val="24"/>
                <w:szCs w:val="28"/>
              </w:rPr>
              <w:t>正常运营，经营性现金流及市场租赁业务整体稳定</w:t>
            </w:r>
            <w:r w:rsidR="00172545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2B5F5A6E" w14:textId="103D2285" w:rsidR="00A03394" w:rsidRDefault="00A03394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lastRenderedPageBreak/>
              <w:t>2</w:t>
            </w:r>
            <w:r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E64E6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2025年营业收入较前一年下降了7.59%，是否因为在租金收入上受到影响？</w:t>
            </w:r>
          </w:p>
          <w:p w14:paraId="041CE7E2" w14:textId="57992472" w:rsidR="00A03394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Pr="005D1232">
              <w:rPr>
                <w:rFonts w:ascii="宋体" w:eastAsia="宋体" w:hAnsi="宋体" w:hint="eastAsia"/>
                <w:sz w:val="24"/>
                <w:szCs w:val="28"/>
              </w:rPr>
              <w:t>2025年度公司</w:t>
            </w:r>
            <w:r w:rsidR="00E422FB">
              <w:rPr>
                <w:rFonts w:ascii="宋体" w:eastAsia="宋体" w:hAnsi="宋体" w:hint="eastAsia"/>
                <w:sz w:val="24"/>
                <w:szCs w:val="28"/>
              </w:rPr>
              <w:t>营业收入8.78亿元，主要系本期营业房租金减少。</w:t>
            </w:r>
            <w:r w:rsidR="00E422FB" w:rsidRPr="00E422FB">
              <w:rPr>
                <w:rFonts w:ascii="宋体" w:eastAsia="宋体" w:hAnsi="宋体" w:hint="eastAsia"/>
                <w:sz w:val="24"/>
                <w:szCs w:val="28"/>
              </w:rPr>
              <w:t>一方面，受宏观经济环境及商户经营压力影响，部分市场的租金水平有所下调</w:t>
            </w:r>
            <w:r w:rsidR="00E422FB">
              <w:rPr>
                <w:rFonts w:ascii="宋体" w:eastAsia="宋体" w:hAnsi="宋体" w:hint="eastAsia"/>
                <w:sz w:val="24"/>
                <w:szCs w:val="28"/>
              </w:rPr>
              <w:t>，另一方面</w:t>
            </w:r>
            <w:r w:rsidR="00E422FB" w:rsidRPr="00E422FB">
              <w:rPr>
                <w:rFonts w:ascii="宋体" w:eastAsia="宋体" w:hAnsi="宋体" w:hint="eastAsia"/>
                <w:sz w:val="24"/>
                <w:szCs w:val="28"/>
              </w:rPr>
              <w:t>公司物流、线上业务等板块在稳步推进</w:t>
            </w:r>
            <w:r w:rsidR="00E422FB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E422FB" w:rsidRPr="00E422FB">
              <w:rPr>
                <w:rFonts w:ascii="宋体" w:eastAsia="宋体" w:hAnsi="宋体" w:hint="eastAsia"/>
                <w:sz w:val="24"/>
                <w:szCs w:val="28"/>
              </w:rPr>
              <w:t>对总营收的拉动作用尚未完全释放</w:t>
            </w:r>
            <w:r w:rsidR="00E422FB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63F88C3C" w14:textId="77777777" w:rsidR="00A03394" w:rsidRPr="005E6F34" w:rsidRDefault="00A03394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128D068" w14:textId="6FD753AD" w:rsidR="00A03394" w:rsidRDefault="00A03394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  <w:r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E422F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AC0DE6" w:rsidRPr="00AC0D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经营活动现金流净额由正转负</w:t>
            </w:r>
            <w:r w:rsidR="00AC0D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，</w:t>
            </w:r>
            <w:r w:rsidR="00AC0DE6" w:rsidRPr="00AC0D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是否面临资金</w:t>
            </w:r>
            <w:proofErr w:type="gramStart"/>
            <w:r w:rsidR="00AC0DE6" w:rsidRPr="00AC0D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链紧张</w:t>
            </w:r>
            <w:proofErr w:type="gramEnd"/>
            <w:r w:rsidR="00AC0DE6" w:rsidRPr="00AC0D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的风险？</w:t>
            </w:r>
            <w:r w:rsidR="00AC0DE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 </w:t>
            </w:r>
          </w:p>
          <w:p w14:paraId="3AA4C4DF" w14:textId="2CF05745" w:rsidR="00A03394" w:rsidRDefault="00A03394" w:rsidP="00AC0DE6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713165"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FA0101" w:rsidRPr="00FA0101">
              <w:rPr>
                <w:rFonts w:ascii="宋体" w:eastAsia="宋体" w:hAnsi="宋体" w:hint="eastAsia"/>
                <w:sz w:val="24"/>
                <w:szCs w:val="28"/>
              </w:rPr>
              <w:t>2025年公司经营性现金流为负，</w:t>
            </w:r>
            <w:r w:rsidR="00AC0DE6">
              <w:rPr>
                <w:rFonts w:ascii="宋体" w:eastAsia="宋体" w:hAnsi="宋体" w:hint="eastAsia"/>
                <w:sz w:val="24"/>
                <w:szCs w:val="28"/>
              </w:rPr>
              <w:t>最主要原因是</w:t>
            </w:r>
            <w:r w:rsidR="00AC0DE6" w:rsidRPr="00AC0DE6">
              <w:rPr>
                <w:rFonts w:ascii="宋体" w:eastAsia="宋体" w:hAnsi="宋体" w:hint="eastAsia"/>
                <w:sz w:val="24"/>
                <w:szCs w:val="28"/>
              </w:rPr>
              <w:t>批量到期营业房租金收取</w:t>
            </w:r>
            <w:r w:rsidR="00AC0DE6">
              <w:rPr>
                <w:rFonts w:ascii="宋体" w:eastAsia="宋体" w:hAnsi="宋体" w:hint="eastAsia"/>
                <w:sz w:val="24"/>
                <w:szCs w:val="28"/>
              </w:rPr>
              <w:t>少于上期，同时</w:t>
            </w:r>
            <w:r w:rsidR="00FA0101" w:rsidRPr="00FA0101">
              <w:rPr>
                <w:rFonts w:ascii="宋体" w:eastAsia="宋体" w:hAnsi="宋体" w:hint="eastAsia"/>
                <w:sz w:val="24"/>
                <w:szCs w:val="28"/>
              </w:rPr>
              <w:t>本期收到优先承租权拍卖款、实缴税金少于上期</w:t>
            </w:r>
            <w:r w:rsidR="00FA0101">
              <w:rPr>
                <w:rFonts w:ascii="宋体" w:eastAsia="宋体" w:hAnsi="宋体" w:hint="eastAsia"/>
                <w:sz w:val="24"/>
                <w:szCs w:val="28"/>
              </w:rPr>
              <w:t>这三个阶段性、非持续性因素共同影响所致。</w:t>
            </w:r>
            <w:r w:rsidR="00FA0101" w:rsidRPr="00FA0101">
              <w:rPr>
                <w:rFonts w:ascii="宋体" w:eastAsia="宋体" w:hAnsi="宋体" w:hint="eastAsia"/>
                <w:sz w:val="24"/>
                <w:szCs w:val="28"/>
              </w:rPr>
              <w:t>公司目前不存在资金</w:t>
            </w:r>
            <w:proofErr w:type="gramStart"/>
            <w:r w:rsidR="00FA0101" w:rsidRPr="00FA0101">
              <w:rPr>
                <w:rFonts w:ascii="宋体" w:eastAsia="宋体" w:hAnsi="宋体" w:hint="eastAsia"/>
                <w:sz w:val="24"/>
                <w:szCs w:val="28"/>
              </w:rPr>
              <w:t>链紧张</w:t>
            </w:r>
            <w:proofErr w:type="gramEnd"/>
            <w:r w:rsidR="00FA0101" w:rsidRPr="00FA0101">
              <w:rPr>
                <w:rFonts w:ascii="宋体" w:eastAsia="宋体" w:hAnsi="宋体" w:hint="eastAsia"/>
                <w:sz w:val="24"/>
                <w:szCs w:val="28"/>
              </w:rPr>
              <w:t>的风险</w:t>
            </w:r>
            <w:r w:rsidR="00FA0101">
              <w:rPr>
                <w:rFonts w:ascii="宋体" w:eastAsia="宋体" w:hAnsi="宋体" w:hint="eastAsia"/>
                <w:sz w:val="24"/>
                <w:szCs w:val="28"/>
              </w:rPr>
              <w:t>，公司日常运营、项目投资</w:t>
            </w:r>
            <w:r w:rsidR="00AF3EFD">
              <w:rPr>
                <w:rFonts w:ascii="宋体" w:eastAsia="宋体" w:hAnsi="宋体" w:hint="eastAsia"/>
                <w:sz w:val="24"/>
                <w:szCs w:val="28"/>
              </w:rPr>
              <w:t>等</w:t>
            </w:r>
            <w:r w:rsidR="00FA0101">
              <w:rPr>
                <w:rFonts w:ascii="宋体" w:eastAsia="宋体" w:hAnsi="宋体" w:hint="eastAsia"/>
                <w:sz w:val="24"/>
                <w:szCs w:val="28"/>
              </w:rPr>
              <w:t>均有充足的资金保障。</w:t>
            </w:r>
          </w:p>
          <w:p w14:paraId="6AF3CDB3" w14:textId="77777777" w:rsidR="0085503B" w:rsidRDefault="0085503B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48E9F01E" w14:textId="3FB8C7A6" w:rsidR="0085503B" w:rsidRPr="0085503B" w:rsidRDefault="00A33ABC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  <w:r w:rsidR="0085503B" w:rsidRPr="008550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.未来有哪些举措来</w:t>
            </w:r>
            <w:r w:rsidR="008550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提升</w:t>
            </w:r>
            <w:r w:rsidR="0085503B" w:rsidRPr="008550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传统市场的</w:t>
            </w:r>
            <w:r w:rsidR="008550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效益</w:t>
            </w:r>
            <w:r w:rsidR="0085503B" w:rsidRPr="0085503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？</w:t>
            </w:r>
          </w:p>
          <w:p w14:paraId="282AAAD6" w14:textId="68C32C6C" w:rsidR="0085503B" w:rsidRDefault="003D4FFB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一是</w:t>
            </w:r>
            <w:r w:rsidR="0085503B" w:rsidRPr="0085503B">
              <w:rPr>
                <w:rFonts w:ascii="宋体" w:eastAsia="宋体" w:hAnsi="宋体" w:hint="eastAsia"/>
                <w:sz w:val="24"/>
                <w:szCs w:val="28"/>
              </w:rPr>
              <w:t>深化“市场+产业”联动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85503B" w:rsidRPr="0085503B">
              <w:rPr>
                <w:rFonts w:ascii="宋体" w:eastAsia="宋体" w:hAnsi="宋体" w:hint="eastAsia"/>
                <w:sz w:val="24"/>
                <w:szCs w:val="28"/>
              </w:rPr>
              <w:t>推动市场细分与品牌化建设深度融合，继续引进头部品牌、优化商户结构、提升展示形象，探索“展会进市场”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、“特色专营区”等，</w:t>
            </w:r>
            <w:r w:rsidR="0085503B" w:rsidRPr="0085503B">
              <w:rPr>
                <w:rFonts w:ascii="宋体" w:eastAsia="宋体" w:hAnsi="宋体" w:hint="eastAsia"/>
                <w:sz w:val="24"/>
                <w:szCs w:val="28"/>
              </w:rPr>
              <w:t>进一步巩固市场影响力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。二是</w:t>
            </w:r>
            <w:r w:rsidR="0085503B" w:rsidRPr="0085503B">
              <w:rPr>
                <w:rFonts w:ascii="宋体" w:eastAsia="宋体" w:hAnsi="宋体" w:hint="eastAsia"/>
                <w:sz w:val="24"/>
                <w:szCs w:val="28"/>
              </w:rPr>
              <w:t>优化市场服务运营体系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85503B" w:rsidRPr="0085503B">
              <w:rPr>
                <w:rFonts w:ascii="宋体" w:eastAsia="宋体" w:hAnsi="宋体" w:hint="eastAsia"/>
                <w:sz w:val="24"/>
                <w:szCs w:val="28"/>
              </w:rPr>
              <w:t>构建一套具有针对性、实效性与可持续性的长效服务机制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，深化“布行天下”、“展、节、会”等系列活动，为商户提供广泛充分交流空间。三是</w:t>
            </w:r>
            <w:r w:rsidR="0085503B" w:rsidRPr="0085503B">
              <w:rPr>
                <w:rFonts w:ascii="宋体" w:eastAsia="宋体" w:hAnsi="宋体" w:hint="eastAsia"/>
                <w:sz w:val="24"/>
                <w:szCs w:val="28"/>
              </w:rPr>
              <w:t>加快物流产业转型升级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85503B" w:rsidRPr="0085503B">
              <w:rPr>
                <w:rFonts w:ascii="宋体" w:eastAsia="宋体" w:hAnsi="宋体" w:hint="eastAsia"/>
                <w:sz w:val="24"/>
                <w:szCs w:val="28"/>
              </w:rPr>
              <w:t>以“陆、铁、海”多式联运为抓手，探索打造外贸综合服务平台，全面提升通关效率与物流时效</w:t>
            </w:r>
            <w:r w:rsidR="0085503B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08777163" w14:textId="77777777" w:rsidR="0085503B" w:rsidRDefault="0085503B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B8CD70A" w14:textId="7C3FDB2C" w:rsidR="0085503B" w:rsidRPr="003D4FFB" w:rsidRDefault="00A33ABC" w:rsidP="00A03394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</w:t>
            </w:r>
            <w:r w:rsidR="0085503B" w:rsidRPr="003D4FF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.</w:t>
            </w:r>
            <w:r w:rsidR="003D4FFB" w:rsidRPr="003D4FF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AI技术如何与市场进行融合？</w:t>
            </w:r>
          </w:p>
          <w:p w14:paraId="17C482F3" w14:textId="78612251" w:rsidR="003D4FFB" w:rsidRPr="0085503B" w:rsidRDefault="003D4FFB" w:rsidP="00A03394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答：一是</w:t>
            </w:r>
            <w:r w:rsidRPr="003D4FFB">
              <w:rPr>
                <w:rFonts w:ascii="宋体" w:eastAsia="宋体" w:hAnsi="宋体" w:hint="eastAsia"/>
                <w:sz w:val="24"/>
                <w:szCs w:val="28"/>
              </w:rPr>
              <w:t>持续迭代升级AI智能体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3D4FFB">
              <w:rPr>
                <w:rFonts w:ascii="宋体" w:eastAsia="宋体" w:hAnsi="宋体" w:hint="eastAsia"/>
                <w:sz w:val="24"/>
                <w:szCs w:val="28"/>
              </w:rPr>
              <w:t>夯实数据基础，实现面料数字化全覆盖，打通线上交易闭环机制，不断提升系统实用性和用户黏性。同时，进一步推动“AI布”嵌入生产、设计、交易、物流、仓储、管理等环节，做到数据实时更新、动态生长，加强各环节数据融通，让数据资源真正跑起来、用起来、活起来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。二是</w:t>
            </w:r>
            <w:r w:rsidRPr="003D4FFB">
              <w:rPr>
                <w:rFonts w:ascii="宋体" w:eastAsia="宋体" w:hAnsi="宋体" w:hint="eastAsia"/>
                <w:sz w:val="24"/>
                <w:szCs w:val="28"/>
              </w:rPr>
              <w:t>创新发展AI定制业务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Pr="003D4FFB">
              <w:rPr>
                <w:rFonts w:ascii="宋体" w:eastAsia="宋体" w:hAnsi="宋体" w:hint="eastAsia"/>
                <w:sz w:val="24"/>
                <w:szCs w:val="28"/>
              </w:rPr>
              <w:t>加快服装定制业务引流扩量，深度融合数字面料资源、AI设计能力和3D建模技术，实现一键生成、线上下单、即时响应、市场联动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4F241CE7" w14:textId="70A598D7" w:rsidR="00F050C9" w:rsidRDefault="00A33ABC" w:rsidP="00F050C9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6</w:t>
            </w:r>
            <w:r w:rsidR="00F050C9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B5546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目前拆迁补偿尾款的诉讼进展如何？</w:t>
            </w:r>
          </w:p>
          <w:p w14:paraId="57112890" w14:textId="0D7D95A6" w:rsidR="00A03394" w:rsidRPr="00100369" w:rsidRDefault="00F050C9" w:rsidP="00AF3EFD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B55469" w:rsidRPr="00B55469">
              <w:rPr>
                <w:rFonts w:ascii="宋体" w:eastAsia="宋体" w:hAnsi="宋体" w:hint="eastAsia"/>
                <w:sz w:val="24"/>
                <w:szCs w:val="28"/>
              </w:rPr>
              <w:t>关于国际物流中心房屋征收补偿尾款事宜，公司已披露相关进展</w:t>
            </w:r>
            <w:r w:rsidR="00B55469">
              <w:rPr>
                <w:rFonts w:ascii="宋体" w:eastAsia="宋体" w:hAnsi="宋体" w:hint="eastAsia"/>
                <w:sz w:val="24"/>
                <w:szCs w:val="28"/>
              </w:rPr>
              <w:t>，目前</w:t>
            </w:r>
            <w:r w:rsidR="00B55469" w:rsidRPr="00B55469">
              <w:rPr>
                <w:rFonts w:ascii="宋体" w:eastAsia="宋体" w:hAnsi="宋体" w:hint="eastAsia"/>
                <w:sz w:val="24"/>
                <w:szCs w:val="28"/>
              </w:rPr>
              <w:t>相关司法流程正在进行中，公司作为第三人将密切关注案件进展，并及时履行信息披露义务。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</w:p>
        </w:tc>
      </w:tr>
    </w:tbl>
    <w:p w14:paraId="51358BD7" w14:textId="3D92DC9F" w:rsidR="00A03B5D" w:rsidRDefault="00A03B5D" w:rsidP="00F050C9">
      <w:pPr>
        <w:rPr>
          <w:rFonts w:hint="eastAsia"/>
        </w:rPr>
      </w:pPr>
    </w:p>
    <w:sectPr w:rsidR="00A0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A5F95" w14:textId="77777777" w:rsidR="0017292E" w:rsidRDefault="0017292E" w:rsidP="008E5D0E">
      <w:pPr>
        <w:rPr>
          <w:rFonts w:hint="eastAsia"/>
        </w:rPr>
      </w:pPr>
      <w:r>
        <w:separator/>
      </w:r>
    </w:p>
  </w:endnote>
  <w:endnote w:type="continuationSeparator" w:id="0">
    <w:p w14:paraId="701AE7A0" w14:textId="77777777" w:rsidR="0017292E" w:rsidRDefault="0017292E" w:rsidP="008E5D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F370C" w14:textId="77777777" w:rsidR="0017292E" w:rsidRDefault="0017292E" w:rsidP="008E5D0E">
      <w:pPr>
        <w:rPr>
          <w:rFonts w:hint="eastAsia"/>
        </w:rPr>
      </w:pPr>
      <w:r>
        <w:separator/>
      </w:r>
    </w:p>
  </w:footnote>
  <w:footnote w:type="continuationSeparator" w:id="0">
    <w:p w14:paraId="02372421" w14:textId="77777777" w:rsidR="0017292E" w:rsidRDefault="0017292E" w:rsidP="008E5D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E0C6E"/>
    <w:multiLevelType w:val="hybridMultilevel"/>
    <w:tmpl w:val="FF5E7004"/>
    <w:lvl w:ilvl="0" w:tplc="F7B6C46C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40"/>
      </w:pPr>
    </w:lvl>
    <w:lvl w:ilvl="2" w:tplc="0409001B" w:tentative="1">
      <w:start w:val="1"/>
      <w:numFmt w:val="lowerRoman"/>
      <w:lvlText w:val="%3."/>
      <w:lvlJc w:val="righ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9" w:tentative="1">
      <w:start w:val="1"/>
      <w:numFmt w:val="lowerLetter"/>
      <w:lvlText w:val="%5)"/>
      <w:lvlJc w:val="left"/>
      <w:pPr>
        <w:ind w:left="2441" w:hanging="440"/>
      </w:pPr>
    </w:lvl>
    <w:lvl w:ilvl="5" w:tplc="0409001B" w:tentative="1">
      <w:start w:val="1"/>
      <w:numFmt w:val="lowerRoman"/>
      <w:lvlText w:val="%6."/>
      <w:lvlJc w:val="righ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9" w:tentative="1">
      <w:start w:val="1"/>
      <w:numFmt w:val="lowerLetter"/>
      <w:lvlText w:val="%8)"/>
      <w:lvlJc w:val="left"/>
      <w:pPr>
        <w:ind w:left="3761" w:hanging="440"/>
      </w:pPr>
    </w:lvl>
    <w:lvl w:ilvl="8" w:tplc="0409001B" w:tentative="1">
      <w:start w:val="1"/>
      <w:numFmt w:val="lowerRoman"/>
      <w:lvlText w:val="%9."/>
      <w:lvlJc w:val="right"/>
      <w:pPr>
        <w:ind w:left="4201" w:hanging="440"/>
      </w:pPr>
    </w:lvl>
  </w:abstractNum>
  <w:abstractNum w:abstractNumId="1" w15:restartNumberingAfterBreak="0">
    <w:nsid w:val="495F0425"/>
    <w:multiLevelType w:val="hybridMultilevel"/>
    <w:tmpl w:val="EA82061C"/>
    <w:lvl w:ilvl="0" w:tplc="AF668C82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167357425">
    <w:abstractNumId w:val="0"/>
  </w:num>
  <w:num w:numId="2" w16cid:durableId="136814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0"/>
    <w:rsid w:val="00003CE1"/>
    <w:rsid w:val="000146C6"/>
    <w:rsid w:val="00025A38"/>
    <w:rsid w:val="0004661A"/>
    <w:rsid w:val="00066F30"/>
    <w:rsid w:val="000C530B"/>
    <w:rsid w:val="000D7CAD"/>
    <w:rsid w:val="00100369"/>
    <w:rsid w:val="00101AC8"/>
    <w:rsid w:val="001172ED"/>
    <w:rsid w:val="00132D24"/>
    <w:rsid w:val="0015198B"/>
    <w:rsid w:val="0015432B"/>
    <w:rsid w:val="001551EB"/>
    <w:rsid w:val="00164CA3"/>
    <w:rsid w:val="00172545"/>
    <w:rsid w:val="0017292E"/>
    <w:rsid w:val="001730F1"/>
    <w:rsid w:val="00187EE3"/>
    <w:rsid w:val="00191947"/>
    <w:rsid w:val="001978F3"/>
    <w:rsid w:val="001A11C3"/>
    <w:rsid w:val="001B74BE"/>
    <w:rsid w:val="001C2380"/>
    <w:rsid w:val="001C7613"/>
    <w:rsid w:val="001D21A4"/>
    <w:rsid w:val="001E6200"/>
    <w:rsid w:val="001E6C34"/>
    <w:rsid w:val="001F2388"/>
    <w:rsid w:val="0020310C"/>
    <w:rsid w:val="00216D18"/>
    <w:rsid w:val="00220D0D"/>
    <w:rsid w:val="0022481F"/>
    <w:rsid w:val="002669A2"/>
    <w:rsid w:val="00270F65"/>
    <w:rsid w:val="00284399"/>
    <w:rsid w:val="00296974"/>
    <w:rsid w:val="002A59DC"/>
    <w:rsid w:val="002A7F33"/>
    <w:rsid w:val="002C794E"/>
    <w:rsid w:val="002D45E5"/>
    <w:rsid w:val="002D5716"/>
    <w:rsid w:val="002D5D40"/>
    <w:rsid w:val="002E7CBD"/>
    <w:rsid w:val="002F63DD"/>
    <w:rsid w:val="002F681B"/>
    <w:rsid w:val="00314975"/>
    <w:rsid w:val="003237A4"/>
    <w:rsid w:val="0036237F"/>
    <w:rsid w:val="00373B3E"/>
    <w:rsid w:val="003750F1"/>
    <w:rsid w:val="00377A6A"/>
    <w:rsid w:val="003B0CC9"/>
    <w:rsid w:val="003C4F7A"/>
    <w:rsid w:val="003D4FFB"/>
    <w:rsid w:val="003F0CB0"/>
    <w:rsid w:val="00401716"/>
    <w:rsid w:val="004144A5"/>
    <w:rsid w:val="00422A40"/>
    <w:rsid w:val="00444719"/>
    <w:rsid w:val="00465603"/>
    <w:rsid w:val="00484641"/>
    <w:rsid w:val="004977DC"/>
    <w:rsid w:val="004B244D"/>
    <w:rsid w:val="004D6A2C"/>
    <w:rsid w:val="004E3EDC"/>
    <w:rsid w:val="00516A9B"/>
    <w:rsid w:val="00533A40"/>
    <w:rsid w:val="00546413"/>
    <w:rsid w:val="0056551B"/>
    <w:rsid w:val="005857B1"/>
    <w:rsid w:val="005A0AE0"/>
    <w:rsid w:val="005D1232"/>
    <w:rsid w:val="005D1CF2"/>
    <w:rsid w:val="005E6F34"/>
    <w:rsid w:val="005F7C47"/>
    <w:rsid w:val="00617F34"/>
    <w:rsid w:val="006354B6"/>
    <w:rsid w:val="00644A8F"/>
    <w:rsid w:val="006A2F5A"/>
    <w:rsid w:val="006B2221"/>
    <w:rsid w:val="006B463F"/>
    <w:rsid w:val="006C5133"/>
    <w:rsid w:val="006C67BB"/>
    <w:rsid w:val="006E159A"/>
    <w:rsid w:val="006F719B"/>
    <w:rsid w:val="007025C8"/>
    <w:rsid w:val="00706E13"/>
    <w:rsid w:val="00713165"/>
    <w:rsid w:val="007213F7"/>
    <w:rsid w:val="00722116"/>
    <w:rsid w:val="0072336D"/>
    <w:rsid w:val="007A310B"/>
    <w:rsid w:val="007A70FF"/>
    <w:rsid w:val="007B6D2C"/>
    <w:rsid w:val="007D338B"/>
    <w:rsid w:val="007F3F1E"/>
    <w:rsid w:val="0080050E"/>
    <w:rsid w:val="00815355"/>
    <w:rsid w:val="00835872"/>
    <w:rsid w:val="0083598A"/>
    <w:rsid w:val="008376F7"/>
    <w:rsid w:val="00851C84"/>
    <w:rsid w:val="00853047"/>
    <w:rsid w:val="0085503B"/>
    <w:rsid w:val="008C41F8"/>
    <w:rsid w:val="008D2C4C"/>
    <w:rsid w:val="008E5D0E"/>
    <w:rsid w:val="008F2400"/>
    <w:rsid w:val="008F26EF"/>
    <w:rsid w:val="00911A9F"/>
    <w:rsid w:val="00920F4F"/>
    <w:rsid w:val="00931FBC"/>
    <w:rsid w:val="00944DA4"/>
    <w:rsid w:val="00952F6F"/>
    <w:rsid w:val="00971F08"/>
    <w:rsid w:val="00974360"/>
    <w:rsid w:val="00975F35"/>
    <w:rsid w:val="00986224"/>
    <w:rsid w:val="00997DA2"/>
    <w:rsid w:val="009C4816"/>
    <w:rsid w:val="009D6C01"/>
    <w:rsid w:val="009E2AF5"/>
    <w:rsid w:val="009E7485"/>
    <w:rsid w:val="00A03394"/>
    <w:rsid w:val="00A03B5D"/>
    <w:rsid w:val="00A1651F"/>
    <w:rsid w:val="00A16689"/>
    <w:rsid w:val="00A20389"/>
    <w:rsid w:val="00A26128"/>
    <w:rsid w:val="00A33ABC"/>
    <w:rsid w:val="00A41874"/>
    <w:rsid w:val="00A6191D"/>
    <w:rsid w:val="00AA4FC0"/>
    <w:rsid w:val="00AA5CB5"/>
    <w:rsid w:val="00AC0D63"/>
    <w:rsid w:val="00AC0DE6"/>
    <w:rsid w:val="00AD5418"/>
    <w:rsid w:val="00AD7410"/>
    <w:rsid w:val="00AE5B6D"/>
    <w:rsid w:val="00AF3B9C"/>
    <w:rsid w:val="00AF3EFD"/>
    <w:rsid w:val="00AF435D"/>
    <w:rsid w:val="00B10F4C"/>
    <w:rsid w:val="00B55469"/>
    <w:rsid w:val="00B65ACF"/>
    <w:rsid w:val="00B70080"/>
    <w:rsid w:val="00B71ED0"/>
    <w:rsid w:val="00B76319"/>
    <w:rsid w:val="00B77919"/>
    <w:rsid w:val="00B84A39"/>
    <w:rsid w:val="00B8666B"/>
    <w:rsid w:val="00B94ED6"/>
    <w:rsid w:val="00BB0025"/>
    <w:rsid w:val="00BE04F1"/>
    <w:rsid w:val="00BE62EA"/>
    <w:rsid w:val="00BF344C"/>
    <w:rsid w:val="00C153B0"/>
    <w:rsid w:val="00C2381E"/>
    <w:rsid w:val="00C60FA0"/>
    <w:rsid w:val="00C6117C"/>
    <w:rsid w:val="00CD7709"/>
    <w:rsid w:val="00D060AA"/>
    <w:rsid w:val="00D133E3"/>
    <w:rsid w:val="00D22E72"/>
    <w:rsid w:val="00D30227"/>
    <w:rsid w:val="00D336F5"/>
    <w:rsid w:val="00D37AF5"/>
    <w:rsid w:val="00D40BBE"/>
    <w:rsid w:val="00D4614B"/>
    <w:rsid w:val="00D678FD"/>
    <w:rsid w:val="00D8620C"/>
    <w:rsid w:val="00DC0765"/>
    <w:rsid w:val="00DD36A9"/>
    <w:rsid w:val="00DD4ADE"/>
    <w:rsid w:val="00DE6599"/>
    <w:rsid w:val="00DF5420"/>
    <w:rsid w:val="00DF6883"/>
    <w:rsid w:val="00DF69EF"/>
    <w:rsid w:val="00E07111"/>
    <w:rsid w:val="00E179A4"/>
    <w:rsid w:val="00E26F36"/>
    <w:rsid w:val="00E35C07"/>
    <w:rsid w:val="00E36D25"/>
    <w:rsid w:val="00E422FB"/>
    <w:rsid w:val="00E63E21"/>
    <w:rsid w:val="00E64E62"/>
    <w:rsid w:val="00E70121"/>
    <w:rsid w:val="00E7133E"/>
    <w:rsid w:val="00EB4FD5"/>
    <w:rsid w:val="00EC11DB"/>
    <w:rsid w:val="00EC3AAA"/>
    <w:rsid w:val="00ED165D"/>
    <w:rsid w:val="00EE040D"/>
    <w:rsid w:val="00EF4629"/>
    <w:rsid w:val="00F009C9"/>
    <w:rsid w:val="00F050C9"/>
    <w:rsid w:val="00F23AA2"/>
    <w:rsid w:val="00F33941"/>
    <w:rsid w:val="00F4236C"/>
    <w:rsid w:val="00F42A31"/>
    <w:rsid w:val="00F50CFD"/>
    <w:rsid w:val="00F62525"/>
    <w:rsid w:val="00F70746"/>
    <w:rsid w:val="00F731B5"/>
    <w:rsid w:val="00F7791F"/>
    <w:rsid w:val="00FA0101"/>
    <w:rsid w:val="00FA5FDA"/>
    <w:rsid w:val="00FC173D"/>
    <w:rsid w:val="00FE41BE"/>
    <w:rsid w:val="00F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0A353"/>
  <w15:chartTrackingRefBased/>
  <w15:docId w15:val="{30140119-291A-4DD1-B725-F33436F1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D0E"/>
    <w:rPr>
      <w:sz w:val="18"/>
      <w:szCs w:val="18"/>
      <w14:ligatures w14:val="none"/>
    </w:rPr>
  </w:style>
  <w:style w:type="character" w:styleId="a7">
    <w:name w:val="Hyperlink"/>
    <w:basedOn w:val="a0"/>
    <w:uiPriority w:val="99"/>
    <w:semiHidden/>
    <w:unhideWhenUsed/>
    <w:rsid w:val="008F240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0D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676</Words>
  <Characters>894</Characters>
  <Application>Microsoft Office Word</Application>
  <DocSecurity>0</DocSecurity>
  <Lines>111</Lines>
  <Paragraphs>98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琦青</dc:creator>
  <cp:keywords/>
  <dc:description/>
  <cp:lastModifiedBy>微软用户</cp:lastModifiedBy>
  <cp:revision>7</cp:revision>
  <cp:lastPrinted>2026-04-30T06:25:00Z</cp:lastPrinted>
  <dcterms:created xsi:type="dcterms:W3CDTF">2026-04-30T04:00:00Z</dcterms:created>
  <dcterms:modified xsi:type="dcterms:W3CDTF">2026-04-30T08:09:00Z</dcterms:modified>
</cp:coreProperties>
</file>