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C3A118">
      <w:pPr>
        <w:spacing w:before="156" w:beforeLines="50" w:after="156" w:afterLines="50" w:line="400" w:lineRule="exact"/>
        <w:ind w:firstLine="360" w:firstLineChars="150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·证券代码：601828                                 证券简称：美凯龙</w:t>
      </w:r>
    </w:p>
    <w:p w14:paraId="6F081060">
      <w:pPr>
        <w:spacing w:before="156" w:beforeLines="50" w:after="156" w:afterLines="50" w:line="400" w:lineRule="exact"/>
        <w:ind w:firstLine="720" w:firstLineChars="300"/>
        <w:rPr>
          <w:rFonts w:ascii="宋体" w:hAnsi="宋体"/>
          <w:bCs/>
          <w:iCs/>
          <w:color w:val="000000"/>
          <w:sz w:val="24"/>
        </w:rPr>
      </w:pPr>
    </w:p>
    <w:p w14:paraId="236919FA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红星美凯龙家居集团股份有限公司投资者关系活动记录表</w:t>
      </w:r>
    </w:p>
    <w:p w14:paraId="12166344">
      <w:pPr>
        <w:spacing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        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6-02</w:t>
      </w:r>
    </w:p>
    <w:tbl>
      <w:tblPr>
        <w:tblStyle w:val="1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380"/>
      </w:tblGrid>
      <w:tr w14:paraId="37A8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7FEADA34"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6FC1E710"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CCA397C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分析师会议</w:t>
            </w:r>
          </w:p>
          <w:p w14:paraId="750C40CE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业绩说明会 </w:t>
            </w:r>
          </w:p>
          <w:p w14:paraId="721F1B4A">
            <w:pPr>
              <w:spacing w:line="312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路演活动</w:t>
            </w:r>
          </w:p>
          <w:p w14:paraId="2E66DAD9">
            <w:pPr>
              <w:tabs>
                <w:tab w:val="left" w:pos="3045"/>
                <w:tab w:val="center" w:pos="3199"/>
              </w:tabs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ab/>
            </w:r>
          </w:p>
          <w:p w14:paraId="3AE67F23">
            <w:pPr>
              <w:tabs>
                <w:tab w:val="center" w:pos="3199"/>
              </w:tabs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 w14:paraId="7740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908" w:type="dxa"/>
            <w:vAlign w:val="center"/>
          </w:tcPr>
          <w:p w14:paraId="4DA25581"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7380" w:type="dxa"/>
            <w:vAlign w:val="center"/>
          </w:tcPr>
          <w:p w14:paraId="7D6479D1">
            <w:pPr>
              <w:ind w:firstLine="0" w:firstLineChars="0"/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张海涛</w:t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申万宏源证券</w:t>
            </w:r>
          </w:p>
          <w:p w14:paraId="46F1A2B3">
            <w:pPr>
              <w:ind w:firstLine="0" w:firstLineChars="0"/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何川</w:t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巨杉（上海）资产管理有限公司</w:t>
            </w:r>
          </w:p>
          <w:p w14:paraId="2EF13ECA">
            <w:pPr>
              <w:ind w:firstLine="0" w:firstLineChars="0"/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杨明韬</w:t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上海鹏山资产管理有限公司</w:t>
            </w:r>
          </w:p>
          <w:p w14:paraId="15F7AAE7">
            <w:pPr>
              <w:ind w:firstLine="0" w:firstLineChars="0"/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李曦辰</w:t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阳光资产管理股份有限公司</w:t>
            </w:r>
          </w:p>
          <w:p w14:paraId="4E566385">
            <w:pPr>
              <w:ind w:firstLine="0" w:firstLineChars="0"/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张小郭</w:t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创金合信基金管理有限公司</w:t>
            </w:r>
          </w:p>
          <w:p w14:paraId="72A88404">
            <w:pPr>
              <w:ind w:firstLine="0" w:firstLineChars="0"/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张放</w:t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幸福人寿</w:t>
            </w:r>
          </w:p>
          <w:p w14:paraId="2A964E47">
            <w:pPr>
              <w:ind w:firstLine="0" w:firstLineChars="0"/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孙瑞</w:t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中加基金管理有限公司</w:t>
            </w:r>
          </w:p>
          <w:p w14:paraId="1198486B">
            <w:pPr>
              <w:ind w:firstLine="0" w:firstLineChars="0"/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毕建强</w:t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前海开源基金（深圳）管理有限公司</w:t>
            </w:r>
          </w:p>
          <w:p w14:paraId="49554905">
            <w:pPr>
              <w:ind w:firstLine="0" w:firstLineChars="0"/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刘勇</w:t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光大证券股份有限公司（自营）</w:t>
            </w:r>
          </w:p>
          <w:p w14:paraId="6DA255A9">
            <w:pPr>
              <w:ind w:firstLine="0" w:firstLineChars="0"/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王娟</w:t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天治基金管理有限公司</w:t>
            </w:r>
          </w:p>
          <w:p w14:paraId="717F6ED8">
            <w:pPr>
              <w:ind w:firstLine="0" w:firstLineChars="0"/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熊思嘉</w:t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广发证券</w:t>
            </w:r>
          </w:p>
          <w:p w14:paraId="38275798">
            <w:pPr>
              <w:ind w:firstLine="0" w:firstLineChars="0"/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方榕佳</w:t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中金基金管理有限公司</w:t>
            </w:r>
          </w:p>
          <w:p w14:paraId="57516EEB">
            <w:pPr>
              <w:ind w:firstLine="0" w:firstLineChars="0"/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李丹</w:t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和泰人寿保险股份有限公司</w:t>
            </w:r>
          </w:p>
          <w:p w14:paraId="7329B8B2">
            <w:pPr>
              <w:ind w:firstLine="0" w:firstLineChars="0"/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史国财</w:t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仁桥（北京）资产管理有限公司</w:t>
            </w:r>
          </w:p>
        </w:tc>
      </w:tr>
      <w:tr w14:paraId="1B2B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0A7D0C23"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380" w:type="dxa"/>
          </w:tcPr>
          <w:p w14:paraId="7A4744E5">
            <w:pPr>
              <w:spacing w:line="312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2026年4月30日 15：00-16:00</w:t>
            </w:r>
            <w:bookmarkStart w:id="0" w:name="_GoBack"/>
            <w:bookmarkEnd w:id="0"/>
          </w:p>
        </w:tc>
      </w:tr>
      <w:tr w14:paraId="4245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5DFED40D"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380" w:type="dxa"/>
          </w:tcPr>
          <w:p w14:paraId="1419F129">
            <w:pPr>
              <w:spacing w:line="240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线上交流</w:t>
            </w:r>
          </w:p>
        </w:tc>
      </w:tr>
      <w:tr w14:paraId="099F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7A298C5F"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公司总部接待人员姓名</w:t>
            </w:r>
          </w:p>
        </w:tc>
        <w:tc>
          <w:tcPr>
            <w:tcW w:w="7380" w:type="dxa"/>
            <w:vAlign w:val="center"/>
          </w:tcPr>
          <w:p w14:paraId="26FB169E">
            <w:pPr>
              <w:spacing w:line="240" w:lineRule="auto"/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董事会秘书 曹澍</w:t>
            </w:r>
          </w:p>
          <w:p w14:paraId="080D5A41">
            <w:pPr>
              <w:spacing w:line="240" w:lineRule="auto"/>
              <w:rPr>
                <w:rFonts w:hint="default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投资者关系高级经理 王凝洁</w:t>
            </w:r>
          </w:p>
        </w:tc>
      </w:tr>
      <w:tr w14:paraId="4E42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08" w:type="dxa"/>
            <w:vAlign w:val="center"/>
          </w:tcPr>
          <w:p w14:paraId="46125A7D"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380" w:type="dxa"/>
          </w:tcPr>
          <w:p w14:paraId="7CE34AC5">
            <w:pPr>
              <w:numPr>
                <w:ilvl w:val="0"/>
                <w:numId w:val="1"/>
              </w:numP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介绍2026年一季度财务情况</w:t>
            </w:r>
          </w:p>
          <w:p w14:paraId="592575E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截至</w:t>
            </w:r>
            <w:r>
              <w:rPr>
                <w:rFonts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</w:rPr>
              <w:t>6年3月</w:t>
            </w:r>
            <w:r>
              <w:rPr>
                <w:rFonts w:ascii="宋体" w:hAnsi="宋体"/>
                <w:sz w:val="24"/>
              </w:rPr>
              <w:t>31</w:t>
            </w:r>
            <w:r>
              <w:rPr>
                <w:rFonts w:hint="eastAsia" w:ascii="宋体" w:hAnsi="宋体"/>
                <w:sz w:val="24"/>
              </w:rPr>
              <w:t>日，公司经营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3家自营商场，</w:t>
            </w:r>
            <w:r>
              <w:rPr>
                <w:rFonts w:ascii="宋体" w:hAnsi="宋体"/>
                <w:sz w:val="24"/>
              </w:rPr>
              <w:t>21</w:t>
            </w:r>
            <w:r>
              <w:rPr>
                <w:rFonts w:hint="eastAsia" w:ascii="宋体" w:hAnsi="宋体"/>
                <w:sz w:val="24"/>
              </w:rPr>
              <w:t>4家不同管理深度的委管商场，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较2025年12月底，</w:t>
            </w:r>
            <w:r>
              <w:rPr>
                <w:rFonts w:hint="eastAsia" w:ascii="宋体" w:hAnsi="宋体" w:cs="宋体"/>
                <w:kern w:val="0"/>
                <w:sz w:val="24"/>
              </w:rPr>
              <w:t>公司自营商场关闭1家，委管商场关闭4家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自营商场出租率85.6%，较2025年12月末有0.6%的回升。</w:t>
            </w:r>
          </w:p>
          <w:p w14:paraId="22CD8905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2026年第一季度营业收入为人民币15.48亿元，较上年同期的16.15亿元下降了0.67亿元，其中自营及租赁板块的收入为11.97亿元，与上年同期的12.09亿元相比，下降了0.12亿元，保持了基本稳定，主要是由于自营数量从2025年期初的74家下降至2026年期初的72家。委管商场数量减少亦导致委管相关的收入下降0.50亿元。</w:t>
            </w:r>
          </w:p>
          <w:p w14:paraId="12DB394E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营业成本和销售费用合计较2025年一季度减少了1.8亿元，主要是由于家居运营板块降本增效。营业成本的下降主要是由于人工成本减少；销售费用的下降主要是因为企划费用的下降导致。财务费用为5亿元较2025年一季度减少了0.6亿元，主要由于本期利息支出下降。</w:t>
            </w:r>
          </w:p>
          <w:p w14:paraId="3E95D80E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整体上看，单体商场的经营质量已明显提升。公司2026年第一季度的归母净利润较上年同期已显著改善，由上年同期的亏损5.13亿元上升至本报告期的0.48亿元，主要是由于单体商场的盈利能力显著改善，投资性房地产公允价值变动损失大幅缩窄（损失5064万），以及公司持续降本增效、降低融资成本，期间费用大幅降低所致。经营产生的利润方面，本期剔除公允价值变动、减值和各类营业外收支等非常规项目，本年经营产生的利润为2.2亿元，已大幅改善。本期公司的经营活动现金净流入也出现了显著提升，由上年同期的-1.12亿元大幅提升至本报告期的4.13亿元，主要是公司本年提效控费导致经营性流出减少所致。</w:t>
            </w:r>
          </w:p>
          <w:p w14:paraId="4D522844">
            <w:pPr>
              <w:spacing w:line="360" w:lineRule="auto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</w:p>
          <w:p w14:paraId="06A4C8FB">
            <w:pPr>
              <w:spacing w:line="360" w:lineRule="auto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2.</w:t>
            </w:r>
            <w:r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  <w:t>26Q1经营活动现金流超过4亿元，背后的原因?</w:t>
            </w:r>
          </w:p>
          <w:p w14:paraId="26B461B7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答：主要是公司本年提效控费导致经营性流出减少所致。</w:t>
            </w:r>
          </w:p>
          <w:p w14:paraId="296EBC41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9ED59CC">
            <w:pPr>
              <w:spacing w:line="360" w:lineRule="auto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3.</w:t>
            </w:r>
            <w:r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  <w:t>26Q1卖场的客流表现？家居以旧换新结束以后，对公司经营的影响？</w:t>
            </w:r>
          </w:p>
          <w:p w14:paraId="026946F6">
            <w:pPr>
              <w:spacing w:line="360" w:lineRule="auto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答：家居以旧换新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zh-TW"/>
              </w:rPr>
              <w:t>政策收紧我们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商场的GMV会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zh-TW"/>
              </w:rPr>
              <w:t>受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到一定的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zh-TW"/>
              </w:rPr>
              <w:t>影响是静态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层面的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zh-TW"/>
              </w:rPr>
              <w:t>，从动态来讲，我们从原来高端电器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到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zh-TW"/>
              </w:rPr>
              <w:t>现在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MEGA-E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zh-TW"/>
              </w:rPr>
              <w:t>电器2.0的转化，其实也是一个流量增加的经营举措，我们在动态中去调整这些变化。我们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在商场增设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zh-TW"/>
              </w:rPr>
              <w:t>服务中心，推动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公司业务从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zh-TW"/>
              </w:rPr>
              <w:t>商业租赁去转化，从服务价值上做一些新的GM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V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zh-TW"/>
              </w:rPr>
              <w:t>的增值。对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门店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zh-TW"/>
              </w:rPr>
              <w:t>来讲，这两年我们也在积极的做一些服务上的提升，回归到商业服务的本身。美凯龙现在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各地服务到家平台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zh-TW"/>
              </w:rPr>
              <w:t>有楚小美、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zh-TW"/>
              </w:rPr>
              <w:t>小美、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渝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zh-TW"/>
              </w:rPr>
              <w:t>小美、苏小龙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zh-TW"/>
              </w:rPr>
              <w:t>，这些都是为消费者未来的他们的家居的一些清洗、维护、维修、延保上做一些新的服务增值，对未来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GMV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zh-TW"/>
              </w:rPr>
              <w:t>的增加也是有非常大的积极作用的。</w:t>
            </w:r>
          </w:p>
          <w:p w14:paraId="29A3252A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另外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最近二手房回暖以及地产政策刺激交易量回暖，传导到家居卖场应该是有个3-6个月的时间，后续交易性房产需求刺激及存量装修的刚需还是能带动场内的销售。另外公司现在重要的品类比如智能家电、新零售类家居、新能源汽车这种，属于成长性的品类，也会对未来场内GMV带来一定的增长。</w:t>
            </w:r>
          </w:p>
          <w:p w14:paraId="135EDDB5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12C32CB"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t>租金水平过去变化趋势？是否有提租的规划？</w:t>
            </w:r>
          </w:p>
          <w:p w14:paraId="5FA1DB2E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答：租金一季度相较去年底还是有略微下降，新的战略品类例如电器、家装前期会有折扣，今年的目标是在一季度的基础上稳住租金单价，同步继续提升5%的出租率。</w:t>
            </w:r>
          </w:p>
          <w:p w14:paraId="1D2B26EF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37AC457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公司新五年战略规划的介绍？</w:t>
            </w:r>
          </w:p>
          <w:p w14:paraId="408D684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答：新五年战略将美凯龙未来战略定位明确为“家居生活新商业运营商与家居产业生态服务商”，一是聚焦主业升级，成为“家居生活新商业运营商”：聚焦家居行业为用户提供更美好的生活，通过提升商业内容、做好商业运营、闭环商业模式、增长空间价值。二是拓展第二曲线，成为“家居产业生态服务商”：与家居商业同频共振，打造第二增长曲线平衡整体业务规模，承担服务型角色定位，将服务范围拓展至产业链上游如品牌工厂等，提升全产业链整体运作效率。</w:t>
            </w:r>
          </w:p>
          <w:p w14:paraId="65919266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战略路径如下：</w:t>
            </w:r>
          </w:p>
          <w:p w14:paraId="06AF91F8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聚焦商业模式的构建，今年很明确的是要推进轻重资产分离，分拆两大专业化的主体，实现重资产经营与轻资产运营双赢驱动，重资产持有业务这块，将聚焦存量资产精细化运营，公司成立了专项工作小组将通过盘活、汰换及资本化运作实现价值最大化，目前还在推进REITs项目的申报。</w:t>
            </w:r>
          </w:p>
          <w:p w14:paraId="035C257A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优化商业内容供给，通过套餐化、场景化、家居生活百货化等方式，实现我们内容的破局，重塑我们家居卖场的吸引力，统一运营所有自持、委管及加盟等形式的在管商场，赋能人货场，强化商业内容，拓展管理规模。</w:t>
            </w:r>
          </w:p>
          <w:p w14:paraId="261B6AE6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3.深耕存量市场，精准捕捉改善的需求，布局前置获客的网络，巩固存量市场份额和商业模式的闭环。</w:t>
            </w:r>
          </w:p>
          <w:p w14:paraId="0F855360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4.拓展我们的第二增长曲线，依托我们在家居行业的积淀的一些优势，发展我们的家居供应链业务，依托建发的资源优势，探索包括但不限于为品牌工厂提供经销商赋能、进口服务等全链路服务，打造“降本增效 + 资源整合”的供应链服务体系，另外探索布局公装、出海（SaaS + 供应链）等业务，延伸产业服务边界，增强抗风险韧性与长期竞争力。</w:t>
            </w:r>
          </w:p>
          <w:p w14:paraId="19FC509D">
            <w:pPr>
              <w:numPr>
                <w:ilvl w:val="0"/>
                <w:numId w:val="0"/>
              </w:numPr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</w:p>
          <w:p w14:paraId="3D7BC66A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6.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后续是否还有投房的公允价值变动损失？</w:t>
            </w:r>
          </w:p>
          <w:p w14:paraId="6A8193D6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答：公司的投房公允价值是采用收益法来评估，</w:t>
            </w:r>
            <w:r>
              <w:rPr>
                <w:rFonts w:hint="eastAsia" w:asciiTheme="minorEastAsia" w:hAnsiTheme="minorEastAsia" w:eastAsiaTheme="minorEastAsia"/>
                <w:sz w:val="24"/>
                <w:szCs w:val="32"/>
                <w:lang w:val="en-US" w:eastAsia="zh-CN"/>
              </w:rPr>
              <w:t>2025年年报的</w:t>
            </w:r>
            <w:r>
              <w:rPr>
                <w:rFonts w:hint="eastAsia" w:asciiTheme="minorEastAsia" w:hAnsiTheme="minorEastAsia" w:eastAsiaTheme="minorEastAsia"/>
                <w:sz w:val="24"/>
                <w:szCs w:val="32"/>
              </w:rPr>
              <w:t>调整</w:t>
            </w:r>
            <w:r>
              <w:rPr>
                <w:rFonts w:hint="eastAsia" w:asciiTheme="minorEastAsia" w:hAnsiTheme="minorEastAsia" w:eastAsiaTheme="minorEastAsia"/>
                <w:sz w:val="24"/>
                <w:szCs w:val="32"/>
                <w:lang w:val="en-US" w:eastAsia="zh-CN"/>
              </w:rPr>
              <w:t>客观公允的</w:t>
            </w:r>
            <w:r>
              <w:rPr>
                <w:rFonts w:hint="eastAsia" w:asciiTheme="minorEastAsia" w:hAnsiTheme="minorEastAsia" w:eastAsiaTheme="minorEastAsia"/>
                <w:sz w:val="24"/>
                <w:szCs w:val="32"/>
              </w:rPr>
              <w:t>反映行业深度调整期公司核心资产的当前价值，</w:t>
            </w:r>
            <w:r>
              <w:rPr>
                <w:rFonts w:hint="eastAsia" w:asciiTheme="minorEastAsia" w:hAnsiTheme="minorEastAsia" w:eastAsiaTheme="minorEastAsia"/>
                <w:sz w:val="24"/>
                <w:szCs w:val="32"/>
                <w:lang w:val="en-US" w:eastAsia="zh-CN"/>
              </w:rPr>
              <w:t>一季度由于关店和租金单价下降影响，投房减值5064万元，对财报的影响较小。</w:t>
            </w:r>
          </w:p>
          <w:p w14:paraId="53BC3C6B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32"/>
                <w:lang w:val="en-US" w:eastAsia="zh-CN"/>
              </w:rPr>
            </w:pPr>
          </w:p>
        </w:tc>
      </w:tr>
      <w:tr w14:paraId="5981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08" w:type="dxa"/>
            <w:vAlign w:val="center"/>
          </w:tcPr>
          <w:p w14:paraId="65F52CB7"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380" w:type="dxa"/>
          </w:tcPr>
          <w:p w14:paraId="09C15907">
            <w:pPr>
              <w:spacing w:line="312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</w:tr>
      <w:tr w14:paraId="5469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470D7E21"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380" w:type="dxa"/>
          </w:tcPr>
          <w:p w14:paraId="272ABD4D">
            <w:pPr>
              <w:spacing w:line="312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6年4月30日</w:t>
            </w:r>
          </w:p>
        </w:tc>
      </w:tr>
    </w:tbl>
    <w:p w14:paraId="68BFC3B8"/>
    <w:sectPr>
      <w:footerReference r:id="rId3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7AC16">
    <w:pPr>
      <w:pStyle w:val="11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 w14:paraId="33F1BD1B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C6055"/>
    <w:multiLevelType w:val="singleLevel"/>
    <w:tmpl w:val="B6FC60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CCF1A95"/>
    <w:multiLevelType w:val="singleLevel"/>
    <w:tmpl w:val="4CCF1A9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F6"/>
    <w:rsid w:val="00004BFB"/>
    <w:rsid w:val="00010AAE"/>
    <w:rsid w:val="00012403"/>
    <w:rsid w:val="00013502"/>
    <w:rsid w:val="00014002"/>
    <w:rsid w:val="000148EC"/>
    <w:rsid w:val="00020110"/>
    <w:rsid w:val="00023AD8"/>
    <w:rsid w:val="000242D4"/>
    <w:rsid w:val="0002495D"/>
    <w:rsid w:val="00027543"/>
    <w:rsid w:val="00027E91"/>
    <w:rsid w:val="000325CB"/>
    <w:rsid w:val="00033F3E"/>
    <w:rsid w:val="0003412E"/>
    <w:rsid w:val="00040106"/>
    <w:rsid w:val="00040588"/>
    <w:rsid w:val="00043B1A"/>
    <w:rsid w:val="000441A5"/>
    <w:rsid w:val="00046C00"/>
    <w:rsid w:val="00053029"/>
    <w:rsid w:val="000607C6"/>
    <w:rsid w:val="00060AA6"/>
    <w:rsid w:val="0006194A"/>
    <w:rsid w:val="000630D7"/>
    <w:rsid w:val="0007492A"/>
    <w:rsid w:val="00074A14"/>
    <w:rsid w:val="00077D4A"/>
    <w:rsid w:val="00077E40"/>
    <w:rsid w:val="00082533"/>
    <w:rsid w:val="0008640A"/>
    <w:rsid w:val="000951EF"/>
    <w:rsid w:val="00095821"/>
    <w:rsid w:val="00095AE5"/>
    <w:rsid w:val="00097616"/>
    <w:rsid w:val="000A06A2"/>
    <w:rsid w:val="000A1164"/>
    <w:rsid w:val="000A2B49"/>
    <w:rsid w:val="000A65BE"/>
    <w:rsid w:val="000C1592"/>
    <w:rsid w:val="000C3A39"/>
    <w:rsid w:val="000C5505"/>
    <w:rsid w:val="000C5CAF"/>
    <w:rsid w:val="000C6844"/>
    <w:rsid w:val="000E02A5"/>
    <w:rsid w:val="000E0457"/>
    <w:rsid w:val="000E1EE0"/>
    <w:rsid w:val="000E1EFF"/>
    <w:rsid w:val="000E250D"/>
    <w:rsid w:val="000E779B"/>
    <w:rsid w:val="000F4D10"/>
    <w:rsid w:val="00100779"/>
    <w:rsid w:val="0010340D"/>
    <w:rsid w:val="00103694"/>
    <w:rsid w:val="00105798"/>
    <w:rsid w:val="0010695A"/>
    <w:rsid w:val="001069B6"/>
    <w:rsid w:val="001120CF"/>
    <w:rsid w:val="00112A62"/>
    <w:rsid w:val="00114076"/>
    <w:rsid w:val="0011407A"/>
    <w:rsid w:val="00114C1F"/>
    <w:rsid w:val="001174F6"/>
    <w:rsid w:val="00120989"/>
    <w:rsid w:val="00123567"/>
    <w:rsid w:val="00123EDA"/>
    <w:rsid w:val="001277C8"/>
    <w:rsid w:val="00127A09"/>
    <w:rsid w:val="00130349"/>
    <w:rsid w:val="00131D3A"/>
    <w:rsid w:val="00134A1E"/>
    <w:rsid w:val="00137C53"/>
    <w:rsid w:val="00143CAE"/>
    <w:rsid w:val="00146232"/>
    <w:rsid w:val="00154179"/>
    <w:rsid w:val="0015715E"/>
    <w:rsid w:val="00160BE1"/>
    <w:rsid w:val="001614F5"/>
    <w:rsid w:val="00164311"/>
    <w:rsid w:val="00164572"/>
    <w:rsid w:val="00171841"/>
    <w:rsid w:val="00172542"/>
    <w:rsid w:val="00172A27"/>
    <w:rsid w:val="00173488"/>
    <w:rsid w:val="00173A88"/>
    <w:rsid w:val="00174860"/>
    <w:rsid w:val="00176A4C"/>
    <w:rsid w:val="0017761E"/>
    <w:rsid w:val="001813A6"/>
    <w:rsid w:val="00181DBE"/>
    <w:rsid w:val="00185CDE"/>
    <w:rsid w:val="001863B9"/>
    <w:rsid w:val="001929E4"/>
    <w:rsid w:val="001931EF"/>
    <w:rsid w:val="00195BF9"/>
    <w:rsid w:val="00196804"/>
    <w:rsid w:val="001A0FE8"/>
    <w:rsid w:val="001A1A1C"/>
    <w:rsid w:val="001A316C"/>
    <w:rsid w:val="001A337B"/>
    <w:rsid w:val="001A346B"/>
    <w:rsid w:val="001A439A"/>
    <w:rsid w:val="001A755C"/>
    <w:rsid w:val="001A780A"/>
    <w:rsid w:val="001B0C4A"/>
    <w:rsid w:val="001B0D38"/>
    <w:rsid w:val="001B27CC"/>
    <w:rsid w:val="001B4293"/>
    <w:rsid w:val="001C03DE"/>
    <w:rsid w:val="001C0B30"/>
    <w:rsid w:val="001C1271"/>
    <w:rsid w:val="001C49D8"/>
    <w:rsid w:val="001C4E51"/>
    <w:rsid w:val="001C4EA5"/>
    <w:rsid w:val="001C50C1"/>
    <w:rsid w:val="001C7A3C"/>
    <w:rsid w:val="001D0B84"/>
    <w:rsid w:val="001D4251"/>
    <w:rsid w:val="001D4D3A"/>
    <w:rsid w:val="001D58CD"/>
    <w:rsid w:val="001E1C68"/>
    <w:rsid w:val="001E2141"/>
    <w:rsid w:val="001F0451"/>
    <w:rsid w:val="001F18F4"/>
    <w:rsid w:val="001F2D63"/>
    <w:rsid w:val="001F55F7"/>
    <w:rsid w:val="001F59BD"/>
    <w:rsid w:val="00203267"/>
    <w:rsid w:val="00205C5A"/>
    <w:rsid w:val="00205CB2"/>
    <w:rsid w:val="002078F5"/>
    <w:rsid w:val="002117D3"/>
    <w:rsid w:val="002135C1"/>
    <w:rsid w:val="00213EE3"/>
    <w:rsid w:val="002160CB"/>
    <w:rsid w:val="0022021E"/>
    <w:rsid w:val="00221D18"/>
    <w:rsid w:val="002227DA"/>
    <w:rsid w:val="0022321C"/>
    <w:rsid w:val="00225F06"/>
    <w:rsid w:val="002262D2"/>
    <w:rsid w:val="00226F37"/>
    <w:rsid w:val="00227C8D"/>
    <w:rsid w:val="00230E41"/>
    <w:rsid w:val="0023234B"/>
    <w:rsid w:val="0023265F"/>
    <w:rsid w:val="002330EE"/>
    <w:rsid w:val="00241E48"/>
    <w:rsid w:val="00242C08"/>
    <w:rsid w:val="00243A86"/>
    <w:rsid w:val="002466EC"/>
    <w:rsid w:val="00251689"/>
    <w:rsid w:val="00252833"/>
    <w:rsid w:val="00254272"/>
    <w:rsid w:val="002548BC"/>
    <w:rsid w:val="00257226"/>
    <w:rsid w:val="00257594"/>
    <w:rsid w:val="002636C9"/>
    <w:rsid w:val="00271998"/>
    <w:rsid w:val="00271A53"/>
    <w:rsid w:val="0027457D"/>
    <w:rsid w:val="00275861"/>
    <w:rsid w:val="0028036C"/>
    <w:rsid w:val="0028206F"/>
    <w:rsid w:val="00285F70"/>
    <w:rsid w:val="00286BCF"/>
    <w:rsid w:val="00287F09"/>
    <w:rsid w:val="002904F1"/>
    <w:rsid w:val="0029114F"/>
    <w:rsid w:val="00291C35"/>
    <w:rsid w:val="00291ED6"/>
    <w:rsid w:val="002936CD"/>
    <w:rsid w:val="00294F4E"/>
    <w:rsid w:val="002A0DFC"/>
    <w:rsid w:val="002A5040"/>
    <w:rsid w:val="002B1D46"/>
    <w:rsid w:val="002B1D88"/>
    <w:rsid w:val="002B2D0A"/>
    <w:rsid w:val="002B31E5"/>
    <w:rsid w:val="002B717F"/>
    <w:rsid w:val="002C46D5"/>
    <w:rsid w:val="002C5AED"/>
    <w:rsid w:val="002D6185"/>
    <w:rsid w:val="002D74B8"/>
    <w:rsid w:val="002E0A2C"/>
    <w:rsid w:val="002E3217"/>
    <w:rsid w:val="002E418C"/>
    <w:rsid w:val="002E49B2"/>
    <w:rsid w:val="002E56DC"/>
    <w:rsid w:val="002F1322"/>
    <w:rsid w:val="00305D0E"/>
    <w:rsid w:val="003108F0"/>
    <w:rsid w:val="00315684"/>
    <w:rsid w:val="00325C10"/>
    <w:rsid w:val="00327047"/>
    <w:rsid w:val="00327A29"/>
    <w:rsid w:val="0033198F"/>
    <w:rsid w:val="00336280"/>
    <w:rsid w:val="003402A4"/>
    <w:rsid w:val="00340D8D"/>
    <w:rsid w:val="00341246"/>
    <w:rsid w:val="0034378B"/>
    <w:rsid w:val="0034635F"/>
    <w:rsid w:val="00353370"/>
    <w:rsid w:val="00357239"/>
    <w:rsid w:val="00357645"/>
    <w:rsid w:val="00363067"/>
    <w:rsid w:val="0036322F"/>
    <w:rsid w:val="003650E2"/>
    <w:rsid w:val="00367530"/>
    <w:rsid w:val="00374679"/>
    <w:rsid w:val="003831E5"/>
    <w:rsid w:val="00384C33"/>
    <w:rsid w:val="00385B9F"/>
    <w:rsid w:val="003902A6"/>
    <w:rsid w:val="00393259"/>
    <w:rsid w:val="003959F3"/>
    <w:rsid w:val="00395D49"/>
    <w:rsid w:val="003B18E5"/>
    <w:rsid w:val="003B248C"/>
    <w:rsid w:val="003C292A"/>
    <w:rsid w:val="003C3FBB"/>
    <w:rsid w:val="003C5AA8"/>
    <w:rsid w:val="003C5F0B"/>
    <w:rsid w:val="003D39CD"/>
    <w:rsid w:val="003D4FAE"/>
    <w:rsid w:val="003E11AF"/>
    <w:rsid w:val="003E1966"/>
    <w:rsid w:val="003E1FC3"/>
    <w:rsid w:val="003E6E0B"/>
    <w:rsid w:val="003E7075"/>
    <w:rsid w:val="00400483"/>
    <w:rsid w:val="00402152"/>
    <w:rsid w:val="00402CE7"/>
    <w:rsid w:val="0040383B"/>
    <w:rsid w:val="0041051D"/>
    <w:rsid w:val="00416E2A"/>
    <w:rsid w:val="00417FF0"/>
    <w:rsid w:val="00422E10"/>
    <w:rsid w:val="0042394F"/>
    <w:rsid w:val="00431D4D"/>
    <w:rsid w:val="00432D02"/>
    <w:rsid w:val="00433703"/>
    <w:rsid w:val="0043461B"/>
    <w:rsid w:val="004362EB"/>
    <w:rsid w:val="004378AA"/>
    <w:rsid w:val="00437E7C"/>
    <w:rsid w:val="004436F2"/>
    <w:rsid w:val="0044496A"/>
    <w:rsid w:val="00451210"/>
    <w:rsid w:val="00455058"/>
    <w:rsid w:val="00457C87"/>
    <w:rsid w:val="004605C6"/>
    <w:rsid w:val="00461369"/>
    <w:rsid w:val="0046618D"/>
    <w:rsid w:val="004663A6"/>
    <w:rsid w:val="0046787F"/>
    <w:rsid w:val="00470B39"/>
    <w:rsid w:val="004717D2"/>
    <w:rsid w:val="00471851"/>
    <w:rsid w:val="0047189E"/>
    <w:rsid w:val="004729DE"/>
    <w:rsid w:val="00473639"/>
    <w:rsid w:val="00474FB3"/>
    <w:rsid w:val="0048032E"/>
    <w:rsid w:val="0048128D"/>
    <w:rsid w:val="00481387"/>
    <w:rsid w:val="004824FF"/>
    <w:rsid w:val="004838D5"/>
    <w:rsid w:val="0049699A"/>
    <w:rsid w:val="004978E0"/>
    <w:rsid w:val="004A124D"/>
    <w:rsid w:val="004A2EE1"/>
    <w:rsid w:val="004A3F12"/>
    <w:rsid w:val="004B02D6"/>
    <w:rsid w:val="004B1064"/>
    <w:rsid w:val="004B151B"/>
    <w:rsid w:val="004B3F1D"/>
    <w:rsid w:val="004B5FA8"/>
    <w:rsid w:val="004B6C1D"/>
    <w:rsid w:val="004B7047"/>
    <w:rsid w:val="004B7E44"/>
    <w:rsid w:val="004C1DA6"/>
    <w:rsid w:val="004C246C"/>
    <w:rsid w:val="004C5196"/>
    <w:rsid w:val="004C6C52"/>
    <w:rsid w:val="004D100B"/>
    <w:rsid w:val="004D1203"/>
    <w:rsid w:val="004D4B78"/>
    <w:rsid w:val="004D5C90"/>
    <w:rsid w:val="004D6629"/>
    <w:rsid w:val="004E4D1E"/>
    <w:rsid w:val="004E5A62"/>
    <w:rsid w:val="004F1394"/>
    <w:rsid w:val="004F3437"/>
    <w:rsid w:val="00501D64"/>
    <w:rsid w:val="005020DF"/>
    <w:rsid w:val="005022DA"/>
    <w:rsid w:val="005074CD"/>
    <w:rsid w:val="00507A08"/>
    <w:rsid w:val="00507B31"/>
    <w:rsid w:val="0051106C"/>
    <w:rsid w:val="00512EC1"/>
    <w:rsid w:val="00513EA1"/>
    <w:rsid w:val="0051627B"/>
    <w:rsid w:val="00521ABA"/>
    <w:rsid w:val="0052207A"/>
    <w:rsid w:val="00522720"/>
    <w:rsid w:val="00523524"/>
    <w:rsid w:val="00523C75"/>
    <w:rsid w:val="0052653B"/>
    <w:rsid w:val="0052780E"/>
    <w:rsid w:val="00527E3A"/>
    <w:rsid w:val="005315EB"/>
    <w:rsid w:val="00532956"/>
    <w:rsid w:val="005340B9"/>
    <w:rsid w:val="00534F86"/>
    <w:rsid w:val="00536B2F"/>
    <w:rsid w:val="00542067"/>
    <w:rsid w:val="005423E8"/>
    <w:rsid w:val="00547F80"/>
    <w:rsid w:val="005520F4"/>
    <w:rsid w:val="005572B2"/>
    <w:rsid w:val="0055768B"/>
    <w:rsid w:val="00562DA1"/>
    <w:rsid w:val="00562F21"/>
    <w:rsid w:val="00570DFE"/>
    <w:rsid w:val="00573E1F"/>
    <w:rsid w:val="005828AA"/>
    <w:rsid w:val="00586CA0"/>
    <w:rsid w:val="00590896"/>
    <w:rsid w:val="005912C5"/>
    <w:rsid w:val="00593140"/>
    <w:rsid w:val="00595591"/>
    <w:rsid w:val="00596838"/>
    <w:rsid w:val="005A0027"/>
    <w:rsid w:val="005A615A"/>
    <w:rsid w:val="005A6220"/>
    <w:rsid w:val="005B0815"/>
    <w:rsid w:val="005B5D91"/>
    <w:rsid w:val="005C1165"/>
    <w:rsid w:val="005C183B"/>
    <w:rsid w:val="005C7068"/>
    <w:rsid w:val="005C7BE3"/>
    <w:rsid w:val="005D2A87"/>
    <w:rsid w:val="005D7F0F"/>
    <w:rsid w:val="005E16A1"/>
    <w:rsid w:val="005E22A1"/>
    <w:rsid w:val="005E5919"/>
    <w:rsid w:val="005E7168"/>
    <w:rsid w:val="005F4BAB"/>
    <w:rsid w:val="006017B6"/>
    <w:rsid w:val="00603688"/>
    <w:rsid w:val="0060613A"/>
    <w:rsid w:val="00614DC2"/>
    <w:rsid w:val="00616EE1"/>
    <w:rsid w:val="00616FFB"/>
    <w:rsid w:val="00622457"/>
    <w:rsid w:val="00622ACA"/>
    <w:rsid w:val="006269AB"/>
    <w:rsid w:val="00630A84"/>
    <w:rsid w:val="00633D57"/>
    <w:rsid w:val="0063440B"/>
    <w:rsid w:val="00636EB0"/>
    <w:rsid w:val="0063709E"/>
    <w:rsid w:val="0064027E"/>
    <w:rsid w:val="00640634"/>
    <w:rsid w:val="0064066F"/>
    <w:rsid w:val="00641925"/>
    <w:rsid w:val="006431C2"/>
    <w:rsid w:val="006459FF"/>
    <w:rsid w:val="00647086"/>
    <w:rsid w:val="00647639"/>
    <w:rsid w:val="006478AF"/>
    <w:rsid w:val="006533A1"/>
    <w:rsid w:val="00655B21"/>
    <w:rsid w:val="00664A8D"/>
    <w:rsid w:val="00665883"/>
    <w:rsid w:val="00666A16"/>
    <w:rsid w:val="00670608"/>
    <w:rsid w:val="00670A3A"/>
    <w:rsid w:val="00671D7C"/>
    <w:rsid w:val="006770D1"/>
    <w:rsid w:val="006811B9"/>
    <w:rsid w:val="00691AAD"/>
    <w:rsid w:val="0069625B"/>
    <w:rsid w:val="0069684A"/>
    <w:rsid w:val="006A213D"/>
    <w:rsid w:val="006A6A0F"/>
    <w:rsid w:val="006B2301"/>
    <w:rsid w:val="006B2740"/>
    <w:rsid w:val="006B2851"/>
    <w:rsid w:val="006B76D0"/>
    <w:rsid w:val="006C4EC3"/>
    <w:rsid w:val="006C5C11"/>
    <w:rsid w:val="006D4264"/>
    <w:rsid w:val="006D5979"/>
    <w:rsid w:val="006D7471"/>
    <w:rsid w:val="006D7E7D"/>
    <w:rsid w:val="006E0BFF"/>
    <w:rsid w:val="006E46A1"/>
    <w:rsid w:val="0070144E"/>
    <w:rsid w:val="00701CFF"/>
    <w:rsid w:val="0070541E"/>
    <w:rsid w:val="00707D64"/>
    <w:rsid w:val="00710B29"/>
    <w:rsid w:val="00714B7C"/>
    <w:rsid w:val="007156D2"/>
    <w:rsid w:val="00717686"/>
    <w:rsid w:val="0071790D"/>
    <w:rsid w:val="00720291"/>
    <w:rsid w:val="00720518"/>
    <w:rsid w:val="007225EF"/>
    <w:rsid w:val="0072345F"/>
    <w:rsid w:val="00724F45"/>
    <w:rsid w:val="00735DC0"/>
    <w:rsid w:val="007404C2"/>
    <w:rsid w:val="00741D47"/>
    <w:rsid w:val="00743C93"/>
    <w:rsid w:val="00743F0D"/>
    <w:rsid w:val="00744454"/>
    <w:rsid w:val="00756A63"/>
    <w:rsid w:val="00756D79"/>
    <w:rsid w:val="00757B8B"/>
    <w:rsid w:val="00760F28"/>
    <w:rsid w:val="00762078"/>
    <w:rsid w:val="00767B3B"/>
    <w:rsid w:val="007701EC"/>
    <w:rsid w:val="00770710"/>
    <w:rsid w:val="007714FB"/>
    <w:rsid w:val="00772A3E"/>
    <w:rsid w:val="00772E34"/>
    <w:rsid w:val="00777B52"/>
    <w:rsid w:val="007804DF"/>
    <w:rsid w:val="00780B38"/>
    <w:rsid w:val="007812B2"/>
    <w:rsid w:val="00785484"/>
    <w:rsid w:val="007869EC"/>
    <w:rsid w:val="007912A6"/>
    <w:rsid w:val="007915AB"/>
    <w:rsid w:val="007944CF"/>
    <w:rsid w:val="00794712"/>
    <w:rsid w:val="007A0411"/>
    <w:rsid w:val="007A4FE6"/>
    <w:rsid w:val="007A64DE"/>
    <w:rsid w:val="007B4F53"/>
    <w:rsid w:val="007B60A9"/>
    <w:rsid w:val="007B7FDA"/>
    <w:rsid w:val="007C3C21"/>
    <w:rsid w:val="007C48DA"/>
    <w:rsid w:val="007C6906"/>
    <w:rsid w:val="007C6CA8"/>
    <w:rsid w:val="007C6DD8"/>
    <w:rsid w:val="007C7C24"/>
    <w:rsid w:val="007D5178"/>
    <w:rsid w:val="007D65AF"/>
    <w:rsid w:val="007D76FA"/>
    <w:rsid w:val="007E04D6"/>
    <w:rsid w:val="007E3A02"/>
    <w:rsid w:val="007E55C0"/>
    <w:rsid w:val="007F0F75"/>
    <w:rsid w:val="007F2ECB"/>
    <w:rsid w:val="00800588"/>
    <w:rsid w:val="00806735"/>
    <w:rsid w:val="00810C57"/>
    <w:rsid w:val="00810F7A"/>
    <w:rsid w:val="00813DCA"/>
    <w:rsid w:val="00814C90"/>
    <w:rsid w:val="00817AA3"/>
    <w:rsid w:val="008240C4"/>
    <w:rsid w:val="0082427B"/>
    <w:rsid w:val="00824B9C"/>
    <w:rsid w:val="0082617C"/>
    <w:rsid w:val="008267CA"/>
    <w:rsid w:val="00826C16"/>
    <w:rsid w:val="00827C2D"/>
    <w:rsid w:val="0083089B"/>
    <w:rsid w:val="008319CD"/>
    <w:rsid w:val="00837601"/>
    <w:rsid w:val="00842212"/>
    <w:rsid w:val="008444B1"/>
    <w:rsid w:val="008464D9"/>
    <w:rsid w:val="0085170D"/>
    <w:rsid w:val="0085184E"/>
    <w:rsid w:val="00854D00"/>
    <w:rsid w:val="00861957"/>
    <w:rsid w:val="00863DD6"/>
    <w:rsid w:val="00873BA5"/>
    <w:rsid w:val="00875955"/>
    <w:rsid w:val="00880DF0"/>
    <w:rsid w:val="008813DC"/>
    <w:rsid w:val="008834DF"/>
    <w:rsid w:val="008876C1"/>
    <w:rsid w:val="0089014B"/>
    <w:rsid w:val="008950EC"/>
    <w:rsid w:val="00896EEA"/>
    <w:rsid w:val="008A7EE4"/>
    <w:rsid w:val="008B0F5F"/>
    <w:rsid w:val="008B15BE"/>
    <w:rsid w:val="008B2F14"/>
    <w:rsid w:val="008B5609"/>
    <w:rsid w:val="008B711C"/>
    <w:rsid w:val="008B7EE7"/>
    <w:rsid w:val="008C415C"/>
    <w:rsid w:val="008C612C"/>
    <w:rsid w:val="008D029F"/>
    <w:rsid w:val="008D065A"/>
    <w:rsid w:val="008D5193"/>
    <w:rsid w:val="008D5C0F"/>
    <w:rsid w:val="008D63AA"/>
    <w:rsid w:val="008D7BB1"/>
    <w:rsid w:val="008E078D"/>
    <w:rsid w:val="008E08A9"/>
    <w:rsid w:val="008E0ED7"/>
    <w:rsid w:val="008E13B8"/>
    <w:rsid w:val="008E3E20"/>
    <w:rsid w:val="008E4B3D"/>
    <w:rsid w:val="008E7A19"/>
    <w:rsid w:val="008F02AE"/>
    <w:rsid w:val="008F534A"/>
    <w:rsid w:val="008F57DF"/>
    <w:rsid w:val="009007B5"/>
    <w:rsid w:val="00903AE7"/>
    <w:rsid w:val="00905B96"/>
    <w:rsid w:val="009113AE"/>
    <w:rsid w:val="0091366A"/>
    <w:rsid w:val="009168B7"/>
    <w:rsid w:val="009171FB"/>
    <w:rsid w:val="00921D4D"/>
    <w:rsid w:val="00930BA9"/>
    <w:rsid w:val="00931226"/>
    <w:rsid w:val="00937C34"/>
    <w:rsid w:val="00940AF4"/>
    <w:rsid w:val="00943B2D"/>
    <w:rsid w:val="00944184"/>
    <w:rsid w:val="00953D57"/>
    <w:rsid w:val="00957D8F"/>
    <w:rsid w:val="0096128C"/>
    <w:rsid w:val="009618A2"/>
    <w:rsid w:val="00962504"/>
    <w:rsid w:val="00964B35"/>
    <w:rsid w:val="0096588D"/>
    <w:rsid w:val="00966DDE"/>
    <w:rsid w:val="0097010B"/>
    <w:rsid w:val="00971FC3"/>
    <w:rsid w:val="00973364"/>
    <w:rsid w:val="009736C8"/>
    <w:rsid w:val="00973730"/>
    <w:rsid w:val="00976B09"/>
    <w:rsid w:val="009777E1"/>
    <w:rsid w:val="009811A2"/>
    <w:rsid w:val="009824B1"/>
    <w:rsid w:val="009976C2"/>
    <w:rsid w:val="009A131E"/>
    <w:rsid w:val="009A46B0"/>
    <w:rsid w:val="009B115B"/>
    <w:rsid w:val="009B1498"/>
    <w:rsid w:val="009B1827"/>
    <w:rsid w:val="009B1F8D"/>
    <w:rsid w:val="009B472F"/>
    <w:rsid w:val="009B54F8"/>
    <w:rsid w:val="009C2EE0"/>
    <w:rsid w:val="009C7105"/>
    <w:rsid w:val="009D0115"/>
    <w:rsid w:val="009D5548"/>
    <w:rsid w:val="009D5D9C"/>
    <w:rsid w:val="009D5E6C"/>
    <w:rsid w:val="009E0FBC"/>
    <w:rsid w:val="009E1A23"/>
    <w:rsid w:val="009E33D4"/>
    <w:rsid w:val="009E62D5"/>
    <w:rsid w:val="009E6F1C"/>
    <w:rsid w:val="009E71A3"/>
    <w:rsid w:val="009F59CB"/>
    <w:rsid w:val="00A00BF1"/>
    <w:rsid w:val="00A0192E"/>
    <w:rsid w:val="00A036C4"/>
    <w:rsid w:val="00A041C4"/>
    <w:rsid w:val="00A1525B"/>
    <w:rsid w:val="00A21276"/>
    <w:rsid w:val="00A24083"/>
    <w:rsid w:val="00A24A36"/>
    <w:rsid w:val="00A25872"/>
    <w:rsid w:val="00A27D9C"/>
    <w:rsid w:val="00A33BDB"/>
    <w:rsid w:val="00A3694C"/>
    <w:rsid w:val="00A370AF"/>
    <w:rsid w:val="00A4051A"/>
    <w:rsid w:val="00A418FB"/>
    <w:rsid w:val="00A41D8C"/>
    <w:rsid w:val="00A42919"/>
    <w:rsid w:val="00A50297"/>
    <w:rsid w:val="00A5096B"/>
    <w:rsid w:val="00A50F54"/>
    <w:rsid w:val="00A56E56"/>
    <w:rsid w:val="00A56F02"/>
    <w:rsid w:val="00A56F8F"/>
    <w:rsid w:val="00A56FCA"/>
    <w:rsid w:val="00A6364B"/>
    <w:rsid w:val="00A63AA1"/>
    <w:rsid w:val="00A64A5F"/>
    <w:rsid w:val="00A666E1"/>
    <w:rsid w:val="00A73412"/>
    <w:rsid w:val="00A73B44"/>
    <w:rsid w:val="00A74C9D"/>
    <w:rsid w:val="00A754FD"/>
    <w:rsid w:val="00A80981"/>
    <w:rsid w:val="00A80BBD"/>
    <w:rsid w:val="00A82502"/>
    <w:rsid w:val="00A82845"/>
    <w:rsid w:val="00A95897"/>
    <w:rsid w:val="00A97CA6"/>
    <w:rsid w:val="00AA1126"/>
    <w:rsid w:val="00AA15EC"/>
    <w:rsid w:val="00AA6754"/>
    <w:rsid w:val="00AA7701"/>
    <w:rsid w:val="00AA7D13"/>
    <w:rsid w:val="00AB1C5C"/>
    <w:rsid w:val="00AB5876"/>
    <w:rsid w:val="00AB591E"/>
    <w:rsid w:val="00AC3D21"/>
    <w:rsid w:val="00AC3F8A"/>
    <w:rsid w:val="00AC51B3"/>
    <w:rsid w:val="00AD1729"/>
    <w:rsid w:val="00AD1E02"/>
    <w:rsid w:val="00AD4994"/>
    <w:rsid w:val="00AD7EFD"/>
    <w:rsid w:val="00AE0D91"/>
    <w:rsid w:val="00AE1981"/>
    <w:rsid w:val="00AE26CD"/>
    <w:rsid w:val="00AE2E5E"/>
    <w:rsid w:val="00AE644F"/>
    <w:rsid w:val="00AE7AB2"/>
    <w:rsid w:val="00AF04F4"/>
    <w:rsid w:val="00AF36CC"/>
    <w:rsid w:val="00AF6CA7"/>
    <w:rsid w:val="00B0241A"/>
    <w:rsid w:val="00B035E6"/>
    <w:rsid w:val="00B04681"/>
    <w:rsid w:val="00B072DE"/>
    <w:rsid w:val="00B14CA8"/>
    <w:rsid w:val="00B1651D"/>
    <w:rsid w:val="00B17AE0"/>
    <w:rsid w:val="00B206C8"/>
    <w:rsid w:val="00B21ACA"/>
    <w:rsid w:val="00B21F6B"/>
    <w:rsid w:val="00B23CA1"/>
    <w:rsid w:val="00B23DE8"/>
    <w:rsid w:val="00B2478E"/>
    <w:rsid w:val="00B2513A"/>
    <w:rsid w:val="00B27FEB"/>
    <w:rsid w:val="00B338D2"/>
    <w:rsid w:val="00B33FBD"/>
    <w:rsid w:val="00B34F1F"/>
    <w:rsid w:val="00B359A3"/>
    <w:rsid w:val="00B374ED"/>
    <w:rsid w:val="00B407A6"/>
    <w:rsid w:val="00B416B8"/>
    <w:rsid w:val="00B422E3"/>
    <w:rsid w:val="00B4639A"/>
    <w:rsid w:val="00B46C15"/>
    <w:rsid w:val="00B53C5F"/>
    <w:rsid w:val="00B63770"/>
    <w:rsid w:val="00B643E7"/>
    <w:rsid w:val="00B65FAE"/>
    <w:rsid w:val="00B7259B"/>
    <w:rsid w:val="00B768F4"/>
    <w:rsid w:val="00B77F93"/>
    <w:rsid w:val="00B80AA0"/>
    <w:rsid w:val="00B81969"/>
    <w:rsid w:val="00B906D1"/>
    <w:rsid w:val="00B9126A"/>
    <w:rsid w:val="00BA276F"/>
    <w:rsid w:val="00BA530F"/>
    <w:rsid w:val="00BA54B8"/>
    <w:rsid w:val="00BA54D8"/>
    <w:rsid w:val="00BA599A"/>
    <w:rsid w:val="00BA5BE1"/>
    <w:rsid w:val="00BA6C14"/>
    <w:rsid w:val="00BA6D6F"/>
    <w:rsid w:val="00BB1A2D"/>
    <w:rsid w:val="00BB1E4F"/>
    <w:rsid w:val="00BB27B8"/>
    <w:rsid w:val="00BB5B62"/>
    <w:rsid w:val="00BC04D9"/>
    <w:rsid w:val="00BC2B84"/>
    <w:rsid w:val="00BC47A4"/>
    <w:rsid w:val="00BC4D1B"/>
    <w:rsid w:val="00BD3C46"/>
    <w:rsid w:val="00BD4204"/>
    <w:rsid w:val="00BE5945"/>
    <w:rsid w:val="00BE6888"/>
    <w:rsid w:val="00BF0231"/>
    <w:rsid w:val="00BF038B"/>
    <w:rsid w:val="00BF1166"/>
    <w:rsid w:val="00BF1394"/>
    <w:rsid w:val="00BF302A"/>
    <w:rsid w:val="00BF3EF2"/>
    <w:rsid w:val="00BF48B0"/>
    <w:rsid w:val="00BF6AF5"/>
    <w:rsid w:val="00C03BFA"/>
    <w:rsid w:val="00C03EFB"/>
    <w:rsid w:val="00C060FE"/>
    <w:rsid w:val="00C14838"/>
    <w:rsid w:val="00C16D6F"/>
    <w:rsid w:val="00C32B7C"/>
    <w:rsid w:val="00C42035"/>
    <w:rsid w:val="00C42AE9"/>
    <w:rsid w:val="00C4360C"/>
    <w:rsid w:val="00C51EE9"/>
    <w:rsid w:val="00C53010"/>
    <w:rsid w:val="00C53D73"/>
    <w:rsid w:val="00C55C9A"/>
    <w:rsid w:val="00C62510"/>
    <w:rsid w:val="00C62963"/>
    <w:rsid w:val="00C62F2F"/>
    <w:rsid w:val="00C63573"/>
    <w:rsid w:val="00C63BDF"/>
    <w:rsid w:val="00C6602F"/>
    <w:rsid w:val="00C71D39"/>
    <w:rsid w:val="00C724A9"/>
    <w:rsid w:val="00C72612"/>
    <w:rsid w:val="00C735C2"/>
    <w:rsid w:val="00C736A1"/>
    <w:rsid w:val="00C749CF"/>
    <w:rsid w:val="00C819A5"/>
    <w:rsid w:val="00C87EDE"/>
    <w:rsid w:val="00C9234E"/>
    <w:rsid w:val="00CA0AFE"/>
    <w:rsid w:val="00CB18C6"/>
    <w:rsid w:val="00CB2884"/>
    <w:rsid w:val="00CB63B5"/>
    <w:rsid w:val="00CC0EB0"/>
    <w:rsid w:val="00CC10C0"/>
    <w:rsid w:val="00CC1BE7"/>
    <w:rsid w:val="00CC3A65"/>
    <w:rsid w:val="00CC40FF"/>
    <w:rsid w:val="00CC6BC8"/>
    <w:rsid w:val="00CC6E3B"/>
    <w:rsid w:val="00CD23BD"/>
    <w:rsid w:val="00CD4143"/>
    <w:rsid w:val="00CD56C1"/>
    <w:rsid w:val="00CD58AF"/>
    <w:rsid w:val="00CD68EF"/>
    <w:rsid w:val="00CD7337"/>
    <w:rsid w:val="00CE0CF7"/>
    <w:rsid w:val="00CE2056"/>
    <w:rsid w:val="00CE2EC2"/>
    <w:rsid w:val="00CF1ADD"/>
    <w:rsid w:val="00CF4526"/>
    <w:rsid w:val="00CF59FF"/>
    <w:rsid w:val="00D07CAB"/>
    <w:rsid w:val="00D07D32"/>
    <w:rsid w:val="00D13C28"/>
    <w:rsid w:val="00D1581D"/>
    <w:rsid w:val="00D160DF"/>
    <w:rsid w:val="00D166AC"/>
    <w:rsid w:val="00D216A7"/>
    <w:rsid w:val="00D21E9B"/>
    <w:rsid w:val="00D21FBA"/>
    <w:rsid w:val="00D22120"/>
    <w:rsid w:val="00D225D2"/>
    <w:rsid w:val="00D22941"/>
    <w:rsid w:val="00D23745"/>
    <w:rsid w:val="00D23F25"/>
    <w:rsid w:val="00D249CC"/>
    <w:rsid w:val="00D24B1F"/>
    <w:rsid w:val="00D2760D"/>
    <w:rsid w:val="00D30A4D"/>
    <w:rsid w:val="00D3278D"/>
    <w:rsid w:val="00D3541D"/>
    <w:rsid w:val="00D3649D"/>
    <w:rsid w:val="00D37571"/>
    <w:rsid w:val="00D412CC"/>
    <w:rsid w:val="00D41F94"/>
    <w:rsid w:val="00D47514"/>
    <w:rsid w:val="00D504B4"/>
    <w:rsid w:val="00D51538"/>
    <w:rsid w:val="00D519AB"/>
    <w:rsid w:val="00D53812"/>
    <w:rsid w:val="00D53EF0"/>
    <w:rsid w:val="00D5456D"/>
    <w:rsid w:val="00D56071"/>
    <w:rsid w:val="00D562CA"/>
    <w:rsid w:val="00D5676C"/>
    <w:rsid w:val="00D62E77"/>
    <w:rsid w:val="00D66AD5"/>
    <w:rsid w:val="00D67A19"/>
    <w:rsid w:val="00D75130"/>
    <w:rsid w:val="00D830C0"/>
    <w:rsid w:val="00D83E03"/>
    <w:rsid w:val="00D85055"/>
    <w:rsid w:val="00D861B1"/>
    <w:rsid w:val="00D8654E"/>
    <w:rsid w:val="00D868B3"/>
    <w:rsid w:val="00D9321B"/>
    <w:rsid w:val="00D93537"/>
    <w:rsid w:val="00D94FF8"/>
    <w:rsid w:val="00D953E6"/>
    <w:rsid w:val="00D974DC"/>
    <w:rsid w:val="00DA246F"/>
    <w:rsid w:val="00DA5136"/>
    <w:rsid w:val="00DB089B"/>
    <w:rsid w:val="00DB5AA9"/>
    <w:rsid w:val="00DB64BD"/>
    <w:rsid w:val="00DB74EB"/>
    <w:rsid w:val="00DC74D0"/>
    <w:rsid w:val="00DD18B1"/>
    <w:rsid w:val="00DD30D6"/>
    <w:rsid w:val="00DD594F"/>
    <w:rsid w:val="00DD5C23"/>
    <w:rsid w:val="00DE36F1"/>
    <w:rsid w:val="00DE40B7"/>
    <w:rsid w:val="00DE69DB"/>
    <w:rsid w:val="00DF249F"/>
    <w:rsid w:val="00DF5B6B"/>
    <w:rsid w:val="00DF7EF3"/>
    <w:rsid w:val="00E00D86"/>
    <w:rsid w:val="00E02318"/>
    <w:rsid w:val="00E03A14"/>
    <w:rsid w:val="00E042E7"/>
    <w:rsid w:val="00E13BC6"/>
    <w:rsid w:val="00E14440"/>
    <w:rsid w:val="00E16599"/>
    <w:rsid w:val="00E20F0D"/>
    <w:rsid w:val="00E24969"/>
    <w:rsid w:val="00E27695"/>
    <w:rsid w:val="00E32CE2"/>
    <w:rsid w:val="00E33522"/>
    <w:rsid w:val="00E3673C"/>
    <w:rsid w:val="00E43646"/>
    <w:rsid w:val="00E4499B"/>
    <w:rsid w:val="00E457D8"/>
    <w:rsid w:val="00E51559"/>
    <w:rsid w:val="00E52B71"/>
    <w:rsid w:val="00E552E0"/>
    <w:rsid w:val="00E5540E"/>
    <w:rsid w:val="00E55FF9"/>
    <w:rsid w:val="00E602A6"/>
    <w:rsid w:val="00E60E36"/>
    <w:rsid w:val="00E62D8A"/>
    <w:rsid w:val="00E642A2"/>
    <w:rsid w:val="00E65147"/>
    <w:rsid w:val="00E654F1"/>
    <w:rsid w:val="00E662AB"/>
    <w:rsid w:val="00E6699B"/>
    <w:rsid w:val="00E71AE4"/>
    <w:rsid w:val="00E721F5"/>
    <w:rsid w:val="00E7566C"/>
    <w:rsid w:val="00E920C2"/>
    <w:rsid w:val="00E95A71"/>
    <w:rsid w:val="00E97ACA"/>
    <w:rsid w:val="00EA0D84"/>
    <w:rsid w:val="00EA1169"/>
    <w:rsid w:val="00EA2D47"/>
    <w:rsid w:val="00EA3E28"/>
    <w:rsid w:val="00EA58BC"/>
    <w:rsid w:val="00EA6BB3"/>
    <w:rsid w:val="00EB109F"/>
    <w:rsid w:val="00EB1D07"/>
    <w:rsid w:val="00EB4B5C"/>
    <w:rsid w:val="00EB4EF8"/>
    <w:rsid w:val="00EB78D2"/>
    <w:rsid w:val="00EC0B2B"/>
    <w:rsid w:val="00EC11F5"/>
    <w:rsid w:val="00EC60C0"/>
    <w:rsid w:val="00EC75E9"/>
    <w:rsid w:val="00ED240C"/>
    <w:rsid w:val="00ED3A5E"/>
    <w:rsid w:val="00ED6B97"/>
    <w:rsid w:val="00EE186A"/>
    <w:rsid w:val="00EE2DED"/>
    <w:rsid w:val="00EE2F3B"/>
    <w:rsid w:val="00EE3197"/>
    <w:rsid w:val="00EE65BA"/>
    <w:rsid w:val="00EF0232"/>
    <w:rsid w:val="00EF4CE2"/>
    <w:rsid w:val="00EF50AB"/>
    <w:rsid w:val="00F02CE7"/>
    <w:rsid w:val="00F042AD"/>
    <w:rsid w:val="00F10B6E"/>
    <w:rsid w:val="00F148EF"/>
    <w:rsid w:val="00F23014"/>
    <w:rsid w:val="00F25DAF"/>
    <w:rsid w:val="00F30398"/>
    <w:rsid w:val="00F41BA4"/>
    <w:rsid w:val="00F43959"/>
    <w:rsid w:val="00F50909"/>
    <w:rsid w:val="00F52313"/>
    <w:rsid w:val="00F53907"/>
    <w:rsid w:val="00F5565A"/>
    <w:rsid w:val="00F61924"/>
    <w:rsid w:val="00F61CE1"/>
    <w:rsid w:val="00F63001"/>
    <w:rsid w:val="00F64BED"/>
    <w:rsid w:val="00F65D82"/>
    <w:rsid w:val="00F66F04"/>
    <w:rsid w:val="00F72CCD"/>
    <w:rsid w:val="00F74C98"/>
    <w:rsid w:val="00F77847"/>
    <w:rsid w:val="00F80366"/>
    <w:rsid w:val="00F8499A"/>
    <w:rsid w:val="00F85F48"/>
    <w:rsid w:val="00F90791"/>
    <w:rsid w:val="00F922A3"/>
    <w:rsid w:val="00F93617"/>
    <w:rsid w:val="00F97409"/>
    <w:rsid w:val="00F9793E"/>
    <w:rsid w:val="00FA2A17"/>
    <w:rsid w:val="00FA2F1F"/>
    <w:rsid w:val="00FA45C6"/>
    <w:rsid w:val="00FA49ED"/>
    <w:rsid w:val="00FA556E"/>
    <w:rsid w:val="00FA7DDC"/>
    <w:rsid w:val="00FB065E"/>
    <w:rsid w:val="00FB066E"/>
    <w:rsid w:val="00FB1380"/>
    <w:rsid w:val="00FB15B4"/>
    <w:rsid w:val="00FB390A"/>
    <w:rsid w:val="00FB73B9"/>
    <w:rsid w:val="00FC27A9"/>
    <w:rsid w:val="00FC2AC1"/>
    <w:rsid w:val="00FC680D"/>
    <w:rsid w:val="00FC6F6E"/>
    <w:rsid w:val="00FC71FA"/>
    <w:rsid w:val="00FD3F20"/>
    <w:rsid w:val="00FE668C"/>
    <w:rsid w:val="00FF136E"/>
    <w:rsid w:val="00FF3219"/>
    <w:rsid w:val="00FF53FC"/>
    <w:rsid w:val="00FF7E67"/>
    <w:rsid w:val="0663650E"/>
    <w:rsid w:val="07C0373B"/>
    <w:rsid w:val="0935504D"/>
    <w:rsid w:val="0BE95D4C"/>
    <w:rsid w:val="108642F6"/>
    <w:rsid w:val="16E762A2"/>
    <w:rsid w:val="1A781AD7"/>
    <w:rsid w:val="2F02092C"/>
    <w:rsid w:val="305D69EA"/>
    <w:rsid w:val="350F426F"/>
    <w:rsid w:val="39EA27CC"/>
    <w:rsid w:val="3A8544E0"/>
    <w:rsid w:val="3D497F18"/>
    <w:rsid w:val="3FC509A3"/>
    <w:rsid w:val="43E23B0B"/>
    <w:rsid w:val="47283A28"/>
    <w:rsid w:val="4BED77A1"/>
    <w:rsid w:val="4DA34F62"/>
    <w:rsid w:val="4F8132D3"/>
    <w:rsid w:val="4FA82A40"/>
    <w:rsid w:val="54454425"/>
    <w:rsid w:val="57D6727C"/>
    <w:rsid w:val="5A5119FF"/>
    <w:rsid w:val="5BE724C4"/>
    <w:rsid w:val="5DDB5A14"/>
    <w:rsid w:val="621B4F7F"/>
    <w:rsid w:val="6B62463B"/>
    <w:rsid w:val="6B73086C"/>
    <w:rsid w:val="6FE21EB0"/>
    <w:rsid w:val="70480A83"/>
    <w:rsid w:val="73582DD6"/>
    <w:rsid w:val="74C0081A"/>
    <w:rsid w:val="754A7C3C"/>
    <w:rsid w:val="76443AFC"/>
    <w:rsid w:val="7A0207DB"/>
    <w:rsid w:val="7D4E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adjustRightInd w:val="0"/>
      <w:spacing w:after="120" w:line="360" w:lineRule="atLeast"/>
      <w:ind w:left="200" w:leftChars="200"/>
    </w:pPr>
    <w:rPr>
      <w:szCs w:val="24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Date"/>
    <w:basedOn w:val="1"/>
    <w:next w:val="1"/>
    <w:link w:val="24"/>
    <w:semiHidden/>
    <w:unhideWhenUsed/>
    <w:qFormat/>
    <w:uiPriority w:val="99"/>
    <w:pPr>
      <w:ind w:left="100" w:leftChars="2500"/>
    </w:pPr>
    <w:rPr>
      <w:lang w:val="zh-CN"/>
    </w:r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endnote text"/>
    <w:basedOn w:val="1"/>
    <w:qFormat/>
    <w:uiPriority w:val="0"/>
    <w:pPr>
      <w:snapToGrid w:val="0"/>
      <w:jc w:val="left"/>
    </w:pPr>
    <w:rPr>
      <w:rFonts w:ascii="宋体" w:hAnsi="宋体"/>
      <w:sz w:val="28"/>
      <w:szCs w:val="24"/>
    </w:r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annotation subject"/>
    <w:basedOn w:val="4"/>
    <w:next w:val="4"/>
    <w:qFormat/>
    <w:uiPriority w:val="0"/>
    <w:rPr>
      <w:b/>
      <w:bCs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character" w:styleId="21">
    <w:name w:val="annotation reference"/>
    <w:qFormat/>
    <w:uiPriority w:val="0"/>
    <w:rPr>
      <w:sz w:val="21"/>
      <w:szCs w:val="21"/>
    </w:rPr>
  </w:style>
  <w:style w:type="paragraph" w:customStyle="1" w:styleId="22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3">
    <w:name w:val="List Paragraph"/>
    <w:basedOn w:val="1"/>
    <w:link w:val="26"/>
    <w:qFormat/>
    <w:uiPriority w:val="34"/>
    <w:pPr>
      <w:ind w:firstLine="420" w:firstLineChars="200"/>
    </w:pPr>
  </w:style>
  <w:style w:type="character" w:customStyle="1" w:styleId="24">
    <w:name w:val="日期 字符"/>
    <w:link w:val="7"/>
    <w:semiHidden/>
    <w:qFormat/>
    <w:uiPriority w:val="99"/>
    <w:rPr>
      <w:kern w:val="2"/>
      <w:sz w:val="21"/>
    </w:rPr>
  </w:style>
  <w:style w:type="character" w:customStyle="1" w:styleId="25">
    <w:name w:val="apple-converted-space"/>
    <w:qFormat/>
    <w:uiPriority w:val="0"/>
  </w:style>
  <w:style w:type="character" w:customStyle="1" w:styleId="26">
    <w:name w:val="列表段落 字符"/>
    <w:basedOn w:val="17"/>
    <w:link w:val="23"/>
    <w:qFormat/>
    <w:uiPriority w:val="34"/>
    <w:rPr>
      <w:kern w:val="2"/>
      <w:sz w:val="21"/>
    </w:rPr>
  </w:style>
  <w:style w:type="paragraph" w:customStyle="1" w:styleId="27">
    <w:name w:val="_Style 43"/>
    <w:basedOn w:val="28"/>
    <w:next w:val="1"/>
    <w:qFormat/>
    <w:uiPriority w:val="9"/>
    <w:pPr>
      <w:keepNext/>
      <w:keepLines/>
      <w:widowControl w:val="0"/>
      <w:spacing w:before="60" w:after="60"/>
      <w:jc w:val="both"/>
      <w:outlineLvl w:val="2"/>
    </w:pPr>
    <w:rPr>
      <w:rFonts w:ascii="Calibri" w:hAnsi="Calibri" w:cs="Times New Roman"/>
      <w:b/>
      <w:bCs w:val="0"/>
      <w:kern w:val="2"/>
      <w:szCs w:val="32"/>
    </w:rPr>
  </w:style>
  <w:style w:type="paragraph" w:customStyle="1" w:styleId="28">
    <w:name w:val="_Style 40"/>
    <w:qFormat/>
    <w:uiPriority w:val="0"/>
    <w:pPr>
      <w:spacing w:after="160" w:line="278" w:lineRule="auto"/>
    </w:pPr>
    <w:rPr>
      <w:rFonts w:ascii="Times New Roman" w:hAnsi="Times New Roman" w:eastAsia="宋体" w:cs="宋体"/>
      <w:bCs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501C-DBB2-4800-8382-7B11AB70A5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szse</Company>
  <Pages>4</Pages>
  <Words>2287</Words>
  <Characters>2445</Characters>
  <Lines>23</Lines>
  <Paragraphs>6</Paragraphs>
  <TotalTime>39</TotalTime>
  <ScaleCrop>false</ScaleCrop>
  <LinksUpToDate>false</LinksUpToDate>
  <CharactersWithSpaces>2592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2024-12-31T06:56:00Z</dcterms:created>
  <dc:creator>陈朝晖</dc:creator>
  <cp:lastModifiedBy>ningjie</cp:lastModifiedBy>
  <cp:lastPrinted>2024-12-31T03:15:00Z</cp:lastPrinted>
  <dcterms:modified xsi:type="dcterms:W3CDTF">2026-04-30T09:41:30Z</dcterms:modified>
  <dc:title>中小企业板信息披露业务备忘录第5号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eyJoZGlkIjoiYmI5MGVjNTMxMzIwZWJlOGIxNWJiY2EwMGQzNDBiOWMiLCJ1c2VySWQiOiI1MzQ0MjI3MDUifQ==</vt:lpwstr>
  </property>
  <property fmtid="{D5CDD505-2E9C-101B-9397-08002B2CF9AE}" pid="4" name="ICV">
    <vt:lpwstr>FF59A24BB9A34B7FA5C85143E7C13D62_13</vt:lpwstr>
  </property>
</Properties>
</file>