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jc w:val="center"/>
        <w:rPr>
          <w:rFonts w:hint="eastAsia" w:ascii="方正小标宋简体" w:hAnsi="方正小标宋简体" w:eastAsia="方正小标宋简体" w:cs="Times New Roman"/>
          <w:b/>
          <w:color w:val="FF0000"/>
          <w:w w:val="95"/>
          <w:kern w:val="0"/>
          <w:sz w:val="44"/>
          <w:szCs w:val="116"/>
        </w:rPr>
      </w:pPr>
      <w:bookmarkStart w:id="2" w:name="_GoBack"/>
      <w:bookmarkEnd w:id="2"/>
      <w:r>
        <w:rPr>
          <w:rFonts w:hint="eastAsia" w:ascii="方正小标宋简体" w:hAnsi="方正小标宋简体" w:eastAsia="方正小标宋简体" w:cs="黑体"/>
          <w:b/>
          <w:color w:val="FF0000"/>
          <w:w w:val="95"/>
          <w:sz w:val="44"/>
          <w:szCs w:val="72"/>
        </w:rPr>
        <w:t>中国证券监督管理委员会广东监管局</w:t>
      </w:r>
    </w:p>
    <w:p>
      <w:pPr>
        <w:jc w:val="center"/>
        <w:rPr>
          <w:rFonts w:hint="eastAsia" w:ascii="方正小标宋简体" w:hAnsi="方正小标宋简体" w:eastAsia="方正小标宋简体" w:cs="Times New Roman"/>
          <w:snapToGrid w:val="0"/>
          <w:spacing w:val="85"/>
          <w:w w:val="90"/>
          <w:sz w:val="72"/>
          <w:szCs w:val="72"/>
        </w:rPr>
      </w:pPr>
      <w:r>
        <w:rPr>
          <w:rFonts w:hint="eastAsia" w:ascii="方正小标宋简体" w:hAnsi="方正小标宋简体" w:eastAsia="方正小标宋简体" w:cs="Times New Roman"/>
          <w:b/>
          <w:bCs/>
          <w:snapToGrid w:val="0"/>
          <w:color w:val="FF0000"/>
          <w:spacing w:val="85"/>
          <w:w w:val="90"/>
          <w:sz w:val="72"/>
          <w:szCs w:val="72"/>
        </w:rPr>
        <w:t>行政监管措施决定书</w:t>
      </w:r>
    </w:p>
    <w:p>
      <w:pPr>
        <w:snapToGrid w:val="0"/>
        <w:jc w:val="center"/>
        <w:rPr>
          <w:rFonts w:hint="eastAsia" w:ascii="仿宋_GB2312" w:hAnsi="仿宋_GB2312" w:eastAsia="仿宋_GB2312" w:cs="宋体"/>
          <w:sz w:val="28"/>
          <w:szCs w:val="28"/>
        </w:rPr>
      </w:pPr>
    </w:p>
    <w:p>
      <w:pPr>
        <w:snapToGrid w:val="0"/>
        <w:spacing w:before="156" w:beforeLines="50" w:line="300" w:lineRule="auto"/>
        <w:jc w:val="center"/>
        <w:rPr>
          <w:rFonts w:ascii="黑体" w:hAnsi="Times New Roman" w:eastAsia="黑体" w:cs="Times New Roman"/>
          <w:color w:val="000000"/>
          <w:spacing w:val="12"/>
          <w:sz w:val="32"/>
          <w:szCs w:val="20"/>
        </w:rPr>
      </w:pPr>
      <w:bookmarkStart w:id="0" w:name="WH"/>
      <w:bookmarkEnd w:id="0"/>
      <w:r>
        <w:rPr>
          <w:rFonts w:hint="eastAsia" w:ascii="仿宋_GB2312" w:hAnsi="Times New Roman" w:eastAsia="仿宋_GB2312" w:cs="Times New Roman"/>
          <w:color w:val="000000"/>
          <w:spacing w:val="12"/>
          <w:sz w:val="28"/>
          <w:szCs w:val="20"/>
        </w:rPr>
        <w:t>〔20</w:t>
      </w:r>
      <w:r>
        <w:rPr>
          <w:rFonts w:hint="default" w:ascii="仿宋_GB2312" w:hAnsi="Times New Roman" w:eastAsia="仿宋_GB2312" w:cs="Times New Roman"/>
          <w:color w:val="000000"/>
          <w:spacing w:val="12"/>
          <w:sz w:val="28"/>
          <w:szCs w:val="20"/>
          <w:lang w:val="en-US"/>
        </w:rPr>
        <w:t>26</w:t>
      </w:r>
      <w:r>
        <w:rPr>
          <w:rFonts w:hint="eastAsia" w:ascii="仿宋_GB2312" w:hAnsi="Times New Roman" w:eastAsia="仿宋_GB2312" w:cs="Times New Roman"/>
          <w:color w:val="000000"/>
          <w:spacing w:val="12"/>
          <w:sz w:val="28"/>
          <w:szCs w:val="20"/>
        </w:rPr>
        <w:t>〕</w:t>
      </w:r>
      <w:r>
        <w:rPr>
          <w:rFonts w:hint="default" w:ascii="仿宋_GB2312" w:hAnsi="Times New Roman" w:eastAsia="仿宋_GB2312" w:cs="Times New Roman"/>
          <w:color w:val="000000"/>
          <w:spacing w:val="12"/>
          <w:sz w:val="28"/>
          <w:szCs w:val="20"/>
          <w:lang w:val="en-US"/>
        </w:rPr>
        <w:t>58</w:t>
      </w:r>
      <w:r>
        <w:rPr>
          <w:rFonts w:hint="eastAsia" w:ascii="仿宋_GB2312" w:hAnsi="Times New Roman" w:eastAsia="仿宋_GB2312" w:cs="Times New Roman"/>
          <w:color w:val="000000"/>
          <w:spacing w:val="12"/>
          <w:sz w:val="28"/>
          <w:szCs w:val="20"/>
        </w:rPr>
        <w:t>号</w:t>
      </w:r>
    </w:p>
    <w:p>
      <w:pPr>
        <w:snapToGrid w:val="0"/>
        <w:jc w:val="center"/>
        <w:rPr>
          <w:rFonts w:hint="eastAsia" w:ascii="仿宋_GB2312" w:hAnsi="仿宋_GB2312" w:eastAsia="仿宋_GB2312" w:cs="Times New Roman"/>
          <w:sz w:val="28"/>
          <w:szCs w:val="28"/>
        </w:rPr>
      </w:pPr>
      <w:r>
        <w:rPr>
          <w:rFonts w:ascii="Times New Roman" w:hAnsi="Times New Roman" w:eastAsia="宋体" w:cs="Times New Roman"/>
          <w:szCs w:val="20"/>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128905</wp:posOffset>
                </wp:positionV>
                <wp:extent cx="555180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1805" cy="635"/>
                        </a:xfrm>
                        <a:prstGeom prst="line">
                          <a:avLst/>
                        </a:prstGeom>
                        <a:ln w="127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35pt;margin-top:10.15pt;height:0.05pt;width:437.15pt;z-index:251659264;mso-width-relative:page;mso-height-relative:page;" filled="f" stroked="t" coordsize="21600,21600" o:gfxdata="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">
                <v:fill on="f" focussize="0,0"/>
                <v:stroke weight="1pt" color="#FF0000" joinstyle="round"/>
                <v:imagedata o:title=""/>
                <o:lock v:ext="edit" aspectratio="f"/>
              </v:line>
            </w:pict>
          </mc:Fallback>
        </mc:AlternateContent>
      </w:r>
    </w:p>
    <w:p>
      <w:pPr>
        <w:jc w:val="center"/>
        <w:rPr>
          <w:rFonts w:hint="eastAsia" w:ascii="Times New Roman" w:hAnsi="Times New Roman" w:eastAsia="宋体" w:cs="Times New Roman"/>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sz w:val="44"/>
          <w:szCs w:val="44"/>
          <w:lang w:eastAsia="zh-CN"/>
        </w:rPr>
      </w:pPr>
      <w:bookmarkStart w:id="1" w:name="quanwen"/>
      <w:r>
        <w:rPr>
          <w:rFonts w:hint="eastAsia" w:ascii="方正小标宋简体" w:hAnsi="方正小标宋简体" w:eastAsia="方正小标宋简体" w:cs="方正小标宋简体"/>
          <w:sz w:val="44"/>
          <w:szCs w:val="44"/>
          <w:lang w:eastAsia="zh-CN"/>
        </w:rPr>
        <w:t>关于对广东因赛品牌营销集团股份有限公司</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及王建朝、李明、王明子、张达霖、程伟</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采取出具警示函措施的决定</w:t>
      </w:r>
    </w:p>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方正小标宋简体" w:hAnsi="方正小标宋简体" w:eastAsia="方正小标宋简体" w:cs="方正小标宋简体"/>
          <w:sz w:val="32"/>
          <w:szCs w:val="32"/>
          <w:lang w:eastAsia="zh-CN"/>
        </w:rPr>
      </w:pPr>
    </w:p>
    <w:p>
      <w:pPr>
        <w:keepNext w:val="0"/>
        <w:keepLines w:val="0"/>
        <w:pageBreakBefore w:val="0"/>
        <w:kinsoku/>
        <w:wordWrap/>
        <w:overflowPunct w:val="0"/>
        <w:topLinePunct w:val="0"/>
        <w:autoSpaceDE/>
        <w:autoSpaceDN/>
        <w:bidi w:val="0"/>
        <w:adjustRightInd w:val="0"/>
        <w:snapToGrid w:val="0"/>
        <w:spacing w:beforeLines="0" w:afterLines="0" w:line="336" w:lineRule="auto"/>
        <w:jc w:val="both"/>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spacing w:val="0"/>
          <w:kern w:val="0"/>
          <w:sz w:val="32"/>
          <w:szCs w:val="32"/>
          <w:highlight w:val="none"/>
          <w:lang w:eastAsia="zh-CN"/>
        </w:rPr>
        <w:t>广东因赛品牌营销集团股份有限公司、王建朝、李明、王明子、张达霖、程伟：</w:t>
      </w:r>
    </w:p>
    <w:p>
      <w:pPr>
        <w:numPr>
          <w:ilvl w:val="0"/>
          <w:numId w:val="0"/>
        </w:numPr>
        <w:overflowPunct w:val="0"/>
        <w:adjustRightInd w:val="0"/>
        <w:snapToGrid w:val="0"/>
        <w:spacing w:beforeLines="0" w:afterLines="0" w:line="336" w:lineRule="auto"/>
        <w:ind w:firstLine="640"/>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经查，</w:t>
      </w:r>
      <w:r>
        <w:rPr>
          <w:rFonts w:hint="eastAsia" w:ascii="仿宋_GB2312" w:hAnsi="仿宋_GB2312" w:eastAsia="仿宋_GB2312" w:cs="仿宋_GB2312"/>
          <w:spacing w:val="0"/>
          <w:kern w:val="0"/>
          <w:sz w:val="32"/>
          <w:szCs w:val="32"/>
          <w:highlight w:val="none"/>
          <w:lang w:eastAsia="zh-CN"/>
        </w:rPr>
        <w:t>广东因赛品牌营销集团股份有限公司</w:t>
      </w:r>
      <w:r>
        <w:rPr>
          <w:rFonts w:hint="eastAsia" w:ascii="仿宋_GB2312" w:hAnsi="仿宋_GB2312" w:eastAsia="仿宋_GB2312" w:cs="仿宋_GB2312"/>
          <w:kern w:val="0"/>
          <w:sz w:val="32"/>
          <w:szCs w:val="32"/>
          <w:highlight w:val="none"/>
          <w:lang w:eastAsia="zh-CN"/>
        </w:rPr>
        <w:t>（以下简称因赛集团或公司）存在以下违规行为：</w:t>
      </w:r>
    </w:p>
    <w:p>
      <w:pPr>
        <w:widowControl w:val="0"/>
        <w:adjustRightInd w:val="0"/>
        <w:snapToGrid w:val="0"/>
        <w:spacing w:line="336" w:lineRule="auto"/>
        <w:ind w:firstLine="0"/>
        <w:jc w:val="both"/>
        <w:textAlignment w:val="baseline"/>
        <w:rPr>
          <w:rFonts w:hint="eastAsia" w:ascii="黑体" w:hAnsi="黑体" w:eastAsia="黑体" w:cs="黑体"/>
          <w:color w:val="FF0000"/>
          <w:kern w:val="0"/>
          <w:sz w:val="32"/>
          <w:szCs w:val="32"/>
          <w:lang w:val="en-US" w:eastAsia="zh-CN" w:bidi="ar-SA"/>
        </w:rPr>
      </w:pPr>
      <w:r>
        <w:rPr>
          <w:rFonts w:hint="eastAsia" w:ascii="黑体" w:hAnsi="黑体" w:eastAsia="黑体" w:cs="黑体"/>
          <w:kern w:val="0"/>
          <w:sz w:val="32"/>
          <w:szCs w:val="32"/>
          <w:lang w:val="en-US" w:eastAsia="zh-CN" w:bidi="ar-SA"/>
        </w:rPr>
        <w:t xml:space="preserve">   </w:t>
      </w:r>
      <w:r>
        <w:rPr>
          <w:rFonts w:hint="eastAsia" w:ascii="黑体" w:hAnsi="黑体" w:eastAsia="黑体" w:cs="黑体"/>
          <w:color w:val="auto"/>
          <w:kern w:val="0"/>
          <w:sz w:val="32"/>
          <w:szCs w:val="32"/>
          <w:lang w:val="en-US" w:eastAsia="zh-CN" w:bidi="ar-SA"/>
        </w:rPr>
        <w:t xml:space="preserve"> 一、财务信息披露不准确</w:t>
      </w:r>
    </w:p>
    <w:p>
      <w:pPr>
        <w:widowControl w:val="0"/>
        <w:adjustRightInd w:val="0"/>
        <w:snapToGrid w:val="0"/>
        <w:spacing w:line="336" w:lineRule="auto"/>
        <w:ind w:firstLine="0"/>
        <w:jc w:val="both"/>
        <w:textAlignment w:val="baseline"/>
        <w:rPr>
          <w:rFonts w:hint="eastAsia" w:ascii="仿宋_GB2312" w:hAnsi="仿宋_GB2312" w:eastAsia="仿宋_GB2312" w:cs="仿宋_GB2312"/>
          <w:color w:val="auto"/>
          <w:spacing w:val="0"/>
          <w:kern w:val="0"/>
          <w:sz w:val="32"/>
          <w:szCs w:val="32"/>
          <w:highlight w:val="none"/>
          <w:lang w:val="en"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 xml:space="preserve">    因赛集团2026年4月</w:t>
      </w:r>
      <w:r>
        <w:rPr>
          <w:rFonts w:hint="default" w:ascii="仿宋_GB2312" w:hAnsi="仿宋_GB2312" w:eastAsia="仿宋_GB2312" w:cs="仿宋_GB2312"/>
          <w:b w:val="0"/>
          <w:bCs w:val="0"/>
          <w:color w:val="auto"/>
          <w:kern w:val="0"/>
          <w:sz w:val="32"/>
          <w:szCs w:val="32"/>
          <w:highlight w:val="none"/>
          <w:lang w:val="en-US" w:eastAsia="zh-CN" w:bidi="ar-SA"/>
        </w:rPr>
        <w:t>28</w:t>
      </w:r>
      <w:r>
        <w:rPr>
          <w:rFonts w:hint="eastAsia" w:ascii="仿宋_GB2312" w:hAnsi="仿宋_GB2312" w:eastAsia="仿宋_GB2312" w:cs="仿宋_GB2312"/>
          <w:b w:val="0"/>
          <w:bCs w:val="0"/>
          <w:color w:val="auto"/>
          <w:kern w:val="0"/>
          <w:sz w:val="32"/>
          <w:szCs w:val="32"/>
          <w:highlight w:val="none"/>
          <w:lang w:val="en-US" w:eastAsia="zh-CN" w:bidi="ar-SA"/>
        </w:rPr>
        <w:t>日披露《关于前期会计差错更正的公告》，自行对2024年度、</w:t>
      </w:r>
      <w:r>
        <w:rPr>
          <w:rFonts w:hint="default" w:ascii="仿宋_GB2312" w:hAnsi="仿宋_GB2312" w:eastAsia="仿宋_GB2312" w:cs="仿宋_GB2312"/>
          <w:b w:val="0"/>
          <w:bCs w:val="0"/>
          <w:color w:val="auto"/>
          <w:kern w:val="0"/>
          <w:sz w:val="32"/>
          <w:szCs w:val="32"/>
          <w:highlight w:val="none"/>
          <w:lang w:val="en-US" w:eastAsia="zh-CN" w:bidi="ar-SA"/>
        </w:rPr>
        <w:t>2025</w:t>
      </w:r>
      <w:r>
        <w:rPr>
          <w:rFonts w:hint="eastAsia" w:ascii="仿宋_GB2312" w:hAnsi="仿宋_GB2312" w:eastAsia="仿宋_GB2312" w:cs="仿宋_GB2312"/>
          <w:b w:val="0"/>
          <w:bCs w:val="0"/>
          <w:color w:val="auto"/>
          <w:kern w:val="0"/>
          <w:sz w:val="32"/>
          <w:szCs w:val="32"/>
          <w:highlight w:val="none"/>
          <w:lang w:val="en-US" w:eastAsia="zh-CN" w:bidi="ar-SA"/>
        </w:rPr>
        <w:t>年一季度、</w:t>
      </w:r>
      <w:r>
        <w:rPr>
          <w:rFonts w:hint="default" w:ascii="仿宋_GB2312" w:hAnsi="仿宋_GB2312" w:eastAsia="仿宋_GB2312" w:cs="仿宋_GB2312"/>
          <w:b w:val="0"/>
          <w:bCs w:val="0"/>
          <w:color w:val="auto"/>
          <w:kern w:val="0"/>
          <w:sz w:val="32"/>
          <w:szCs w:val="32"/>
          <w:highlight w:val="none"/>
          <w:lang w:val="en-US" w:eastAsia="zh-CN" w:bidi="ar-SA"/>
        </w:rPr>
        <w:t>2025</w:t>
      </w:r>
      <w:r>
        <w:rPr>
          <w:rFonts w:hint="eastAsia" w:ascii="仿宋_GB2312" w:hAnsi="仿宋_GB2312" w:eastAsia="仿宋_GB2312" w:cs="仿宋_GB2312"/>
          <w:b w:val="0"/>
          <w:bCs w:val="0"/>
          <w:color w:val="auto"/>
          <w:kern w:val="0"/>
          <w:sz w:val="32"/>
          <w:szCs w:val="32"/>
          <w:highlight w:val="none"/>
          <w:lang w:val="en-US" w:eastAsia="zh-CN" w:bidi="ar-SA"/>
        </w:rPr>
        <w:t>年半年度及</w:t>
      </w:r>
      <w:r>
        <w:rPr>
          <w:rFonts w:hint="default" w:ascii="仿宋_GB2312" w:hAnsi="仿宋_GB2312" w:eastAsia="仿宋_GB2312" w:cs="仿宋_GB2312"/>
          <w:b w:val="0"/>
          <w:bCs w:val="0"/>
          <w:color w:val="auto"/>
          <w:kern w:val="0"/>
          <w:sz w:val="32"/>
          <w:szCs w:val="32"/>
          <w:highlight w:val="none"/>
          <w:lang w:val="en-US" w:eastAsia="zh-CN" w:bidi="ar-SA"/>
        </w:rPr>
        <w:t>2025</w:t>
      </w:r>
      <w:r>
        <w:rPr>
          <w:rFonts w:hint="eastAsia" w:ascii="仿宋_GB2312" w:hAnsi="仿宋_GB2312" w:eastAsia="仿宋_GB2312" w:cs="仿宋_GB2312"/>
          <w:b w:val="0"/>
          <w:bCs w:val="0"/>
          <w:color w:val="auto"/>
          <w:kern w:val="0"/>
          <w:sz w:val="32"/>
          <w:szCs w:val="32"/>
          <w:highlight w:val="none"/>
          <w:lang w:val="en-US" w:eastAsia="zh-CN" w:bidi="ar-SA"/>
        </w:rPr>
        <w:t>年前三季度财务数据等进行差错更正，前期</w:t>
      </w:r>
      <w:r>
        <w:rPr>
          <w:rFonts w:hint="eastAsia" w:ascii="仿宋_GB2312" w:hAnsi="仿宋_GB2312" w:eastAsia="仿宋_GB2312" w:cs="Times New Roman"/>
          <w:color w:val="auto"/>
          <w:kern w:val="0"/>
          <w:sz w:val="32"/>
          <w:szCs w:val="24"/>
          <w:highlight w:val="none"/>
          <w:lang w:val="en-US" w:eastAsia="zh-CN" w:bidi="ar-SA"/>
        </w:rPr>
        <w:t>财务信息披露不准确，</w:t>
      </w:r>
      <w:r>
        <w:rPr>
          <w:rFonts w:hint="eastAsia" w:ascii="仿宋_GB2312" w:hAnsi="仿宋_GB2312" w:eastAsia="仿宋_GB2312" w:cs="仿宋_GB2312"/>
          <w:color w:val="auto"/>
          <w:kern w:val="0"/>
          <w:sz w:val="32"/>
          <w:szCs w:val="32"/>
          <w:highlight w:val="none"/>
          <w:lang w:val="en-US" w:eastAsia="zh-CN" w:bidi="ar-SA"/>
        </w:rPr>
        <w:t>违反了</w:t>
      </w:r>
      <w:r>
        <w:rPr>
          <w:rFonts w:hint="eastAsia" w:ascii="仿宋_GB2312" w:hAnsi="仿宋_GB2312" w:eastAsia="仿宋_GB2312" w:cs="仿宋_GB2312"/>
          <w:color w:val="auto"/>
          <w:spacing w:val="-6"/>
          <w:kern w:val="0"/>
          <w:sz w:val="32"/>
          <w:szCs w:val="32"/>
          <w:highlight w:val="none"/>
          <w:lang w:val="en" w:eastAsia="zh-CN" w:bidi="ar-SA"/>
        </w:rPr>
        <w:t>《上市公司信息披露管理办法》（证监会令第</w:t>
      </w:r>
      <w:r>
        <w:rPr>
          <w:rFonts w:hint="eastAsia" w:ascii="仿宋_GB2312" w:hAnsi="仿宋_GB2312" w:eastAsia="仿宋_GB2312" w:cs="仿宋_GB2312"/>
          <w:color w:val="auto"/>
          <w:spacing w:val="-6"/>
          <w:kern w:val="0"/>
          <w:sz w:val="32"/>
          <w:szCs w:val="32"/>
          <w:highlight w:val="none"/>
          <w:lang w:val="en-US" w:eastAsia="zh-CN" w:bidi="ar-SA"/>
        </w:rPr>
        <w:t>182号</w:t>
      </w:r>
      <w:r>
        <w:rPr>
          <w:rFonts w:hint="eastAsia" w:ascii="仿宋_GB2312" w:hAnsi="仿宋_GB2312" w:eastAsia="仿宋_GB2312" w:cs="仿宋_GB2312"/>
          <w:color w:val="auto"/>
          <w:spacing w:val="-6"/>
          <w:kern w:val="0"/>
          <w:sz w:val="32"/>
          <w:szCs w:val="32"/>
          <w:highlight w:val="none"/>
          <w:lang w:val="en" w:eastAsia="zh-CN" w:bidi="ar-SA"/>
        </w:rPr>
        <w:t>）第三条第一款、《上市公司信息披露管理办法》（证监会令第</w:t>
      </w:r>
      <w:r>
        <w:rPr>
          <w:rFonts w:hint="eastAsia" w:ascii="仿宋_GB2312" w:hAnsi="仿宋_GB2312" w:eastAsia="宋体" w:cs="仿宋_GB2312"/>
          <w:color w:val="auto"/>
          <w:spacing w:val="-6"/>
          <w:kern w:val="0"/>
          <w:sz w:val="32"/>
          <w:szCs w:val="32"/>
          <w:highlight w:val="none"/>
          <w:lang w:val="en-US" w:eastAsia="zh-CN" w:bidi="ar-SA"/>
        </w:rPr>
        <w:t>226</w:t>
      </w:r>
      <w:r>
        <w:rPr>
          <w:rFonts w:hint="eastAsia" w:ascii="仿宋_GB2312" w:hAnsi="仿宋_GB2312" w:eastAsia="仿宋_GB2312" w:cs="仿宋_GB2312"/>
          <w:color w:val="auto"/>
          <w:spacing w:val="-6"/>
          <w:kern w:val="0"/>
          <w:sz w:val="32"/>
          <w:szCs w:val="32"/>
          <w:highlight w:val="none"/>
          <w:lang w:val="en-US" w:eastAsia="zh-CN" w:bidi="ar-SA"/>
        </w:rPr>
        <w:t>号</w:t>
      </w:r>
      <w:r>
        <w:rPr>
          <w:rFonts w:hint="eastAsia" w:ascii="仿宋_GB2312" w:hAnsi="仿宋_GB2312" w:eastAsia="仿宋_GB2312" w:cs="仿宋_GB2312"/>
          <w:color w:val="auto"/>
          <w:spacing w:val="-6"/>
          <w:kern w:val="0"/>
          <w:sz w:val="32"/>
          <w:szCs w:val="32"/>
          <w:highlight w:val="none"/>
          <w:lang w:val="en" w:eastAsia="zh-CN" w:bidi="ar-SA"/>
        </w:rPr>
        <w:t>）第三条第一款的规定。</w:t>
      </w:r>
    </w:p>
    <w:p>
      <w:pPr>
        <w:widowControl w:val="0"/>
        <w:adjustRightInd w:val="0"/>
        <w:snapToGrid w:val="0"/>
        <w:spacing w:line="336" w:lineRule="auto"/>
        <w:ind w:firstLine="0"/>
        <w:jc w:val="both"/>
        <w:textAlignment w:val="baseline"/>
        <w:rPr>
          <w:rFonts w:hint="eastAsia" w:ascii="黑体" w:hAnsi="黑体" w:eastAsia="黑体" w:cs="黑体"/>
          <w:b w:val="0"/>
          <w:bCs w:val="0"/>
          <w:kern w:val="0"/>
          <w:sz w:val="32"/>
          <w:szCs w:val="32"/>
          <w:highlight w:val="none"/>
          <w:lang w:val="en-US" w:eastAsia="zh-CN" w:bidi="ar-SA"/>
        </w:rPr>
      </w:pPr>
      <w:r>
        <w:rPr>
          <w:rFonts w:hint="eastAsia" w:ascii="黑体" w:hAnsi="黑体" w:eastAsia="黑体" w:cs="黑体"/>
          <w:b w:val="0"/>
          <w:bCs w:val="0"/>
          <w:kern w:val="0"/>
          <w:sz w:val="32"/>
          <w:szCs w:val="32"/>
          <w:lang w:val="en-US" w:eastAsia="zh-CN" w:bidi="ar-SA"/>
        </w:rPr>
        <w:t xml:space="preserve">    二、募集资金使用不规范</w:t>
      </w:r>
    </w:p>
    <w:p>
      <w:pPr>
        <w:keepNext w:val="0"/>
        <w:keepLines w:val="0"/>
        <w:pageBreakBefore w:val="0"/>
        <w:widowControl w:val="0"/>
        <w:kinsoku/>
        <w:wordWrap/>
        <w:topLinePunct w:val="0"/>
        <w:autoSpaceDE/>
        <w:autoSpaceDN/>
        <w:bidi w:val="0"/>
        <w:adjustRightInd w:val="0"/>
        <w:snapToGrid w:val="0"/>
        <w:spacing w:beforeLines="0" w:afterLines="0" w:line="336" w:lineRule="auto"/>
        <w:ind w:firstLine="642" w:firstLineChars="200"/>
        <w:textAlignment w:val="auto"/>
        <w:outlineLvl w:val="9"/>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rPr>
        <w:t>一是</w:t>
      </w:r>
      <w:r>
        <w:rPr>
          <w:rFonts w:hint="eastAsia" w:ascii="仿宋_GB2312" w:hAnsi="仿宋_GB2312" w:eastAsia="仿宋_GB2312" w:cs="仿宋_GB2312"/>
          <w:kern w:val="0"/>
          <w:sz w:val="32"/>
          <w:szCs w:val="32"/>
          <w:highlight w:val="none"/>
          <w:lang w:val="en-US" w:eastAsia="zh-CN"/>
        </w:rPr>
        <w:t>因赛集团存在使用募集资金支付与募投项目无关的经营支出的情形，2024年度使用金额3,435.58万元，2025年1-3月使用金额594.39万元。</w:t>
      </w:r>
      <w:r>
        <w:rPr>
          <w:rFonts w:hint="eastAsia" w:ascii="仿宋_GB2312" w:hAnsi="仿宋_GB2312" w:eastAsia="仿宋_GB2312" w:cs="仿宋_GB2312"/>
          <w:b/>
          <w:bCs/>
          <w:kern w:val="0"/>
          <w:sz w:val="32"/>
          <w:szCs w:val="32"/>
          <w:highlight w:val="none"/>
          <w:lang w:val="en-US" w:eastAsia="zh-CN"/>
        </w:rPr>
        <w:t>二是</w:t>
      </w:r>
      <w:r>
        <w:rPr>
          <w:rFonts w:hint="eastAsia" w:ascii="仿宋_GB2312" w:hAnsi="仿宋_GB2312" w:eastAsia="仿宋_GB2312" w:cs="仿宋_GB2312"/>
          <w:kern w:val="0"/>
          <w:sz w:val="32"/>
          <w:szCs w:val="32"/>
          <w:highlight w:val="none"/>
          <w:lang w:val="en-US" w:eastAsia="zh-CN"/>
        </w:rPr>
        <w:t>因赛集团存在将部分闲置募集资金暂时补充流动资金后用于购买与主营业务无关的通知存款、定期存款、结构性存款等理财产品的情形，其中2022年度使用金额5,141.67万元，2023年度使用金额6,036.14万元，2024年度使用金额132.78万元。截至目前，因赛集团已将前述违规使用资金转回募集资金专户。</w:t>
      </w:r>
    </w:p>
    <w:p>
      <w:pPr>
        <w:keepNext w:val="0"/>
        <w:keepLines w:val="0"/>
        <w:pageBreakBefore w:val="0"/>
        <w:widowControl w:val="0"/>
        <w:kinsoku/>
        <w:wordWrap/>
        <w:topLinePunct w:val="0"/>
        <w:autoSpaceDE/>
        <w:autoSpaceDN/>
        <w:bidi w:val="0"/>
        <w:adjustRightInd w:val="0"/>
        <w:snapToGrid w:val="0"/>
        <w:spacing w:beforeLines="0" w:afterLines="0" w:line="336" w:lineRule="auto"/>
        <w:ind w:firstLine="640" w:firstLineChars="200"/>
        <w:textAlignment w:val="auto"/>
        <w:outlineLvl w:val="9"/>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因赛集团上述行为违反了</w:t>
      </w:r>
      <w:r>
        <w:rPr>
          <w:rFonts w:hint="eastAsia" w:ascii="仿宋_GB2312" w:hAnsi="仿宋_GB2312" w:eastAsia="仿宋_GB2312" w:cs="仿宋_GB2312"/>
          <w:color w:val="auto"/>
          <w:spacing w:val="0"/>
          <w:kern w:val="0"/>
          <w:sz w:val="32"/>
          <w:szCs w:val="32"/>
          <w:highlight w:val="none"/>
          <w:lang w:val="en" w:eastAsia="zh-CN"/>
        </w:rPr>
        <w:t>《上市公司信息披露管理办法》</w:t>
      </w:r>
      <w:r>
        <w:rPr>
          <w:rFonts w:hint="eastAsia" w:ascii="仿宋_GB2312" w:hAnsi="仿宋_GB2312" w:eastAsia="仿宋_GB2312" w:cs="仿宋_GB2312"/>
          <w:color w:val="auto"/>
          <w:spacing w:val="-6"/>
          <w:kern w:val="0"/>
          <w:sz w:val="32"/>
          <w:szCs w:val="32"/>
          <w:highlight w:val="none"/>
          <w:lang w:val="en" w:eastAsia="zh-CN" w:bidi="ar-SA"/>
        </w:rPr>
        <w:t>（证监会令第</w:t>
      </w:r>
      <w:r>
        <w:rPr>
          <w:rFonts w:hint="eastAsia" w:ascii="仿宋_GB2312" w:hAnsi="仿宋_GB2312" w:eastAsia="仿宋_GB2312" w:cs="仿宋_GB2312"/>
          <w:color w:val="auto"/>
          <w:spacing w:val="-6"/>
          <w:kern w:val="0"/>
          <w:sz w:val="32"/>
          <w:szCs w:val="32"/>
          <w:highlight w:val="none"/>
          <w:lang w:val="en-US" w:eastAsia="zh-CN" w:bidi="ar-SA"/>
        </w:rPr>
        <w:t>182号</w:t>
      </w:r>
      <w:r>
        <w:rPr>
          <w:rFonts w:hint="eastAsia" w:ascii="仿宋_GB2312" w:hAnsi="仿宋_GB2312" w:eastAsia="仿宋_GB2312" w:cs="仿宋_GB2312"/>
          <w:color w:val="auto"/>
          <w:spacing w:val="-6"/>
          <w:kern w:val="0"/>
          <w:sz w:val="32"/>
          <w:szCs w:val="32"/>
          <w:highlight w:val="none"/>
          <w:lang w:val="en" w:eastAsia="zh-CN" w:bidi="ar-SA"/>
        </w:rPr>
        <w:t>）</w:t>
      </w:r>
      <w:r>
        <w:rPr>
          <w:rFonts w:hint="eastAsia" w:ascii="仿宋_GB2312" w:hAnsi="仿宋_GB2312" w:eastAsia="仿宋_GB2312" w:cs="仿宋_GB2312"/>
          <w:color w:val="auto"/>
          <w:spacing w:val="0"/>
          <w:kern w:val="0"/>
          <w:sz w:val="32"/>
          <w:szCs w:val="32"/>
          <w:highlight w:val="none"/>
          <w:lang w:val="en" w:eastAsia="zh-CN"/>
        </w:rPr>
        <w:t>第三条第一款、</w:t>
      </w:r>
      <w:r>
        <w:rPr>
          <w:rFonts w:hint="eastAsia" w:ascii="仿宋_GB2312" w:hAnsi="仿宋_GB2312" w:eastAsia="仿宋_GB2312" w:cs="仿宋_GB2312"/>
          <w:color w:val="auto"/>
          <w:kern w:val="0"/>
          <w:sz w:val="32"/>
          <w:szCs w:val="32"/>
          <w:highlight w:val="none"/>
          <w:lang w:val="en-US" w:eastAsia="zh-CN"/>
        </w:rPr>
        <w:t>《上市公司监管指引第2号——上市公司募集资金管理和使用的监管要求</w:t>
      </w:r>
      <w:r>
        <w:rPr>
          <w:rFonts w:hint="eastAsia" w:ascii="仿宋_GB2312" w:hAnsi="仿宋_GB2312" w:eastAsia="仿宋_GB2312" w:cs="仿宋_GB2312"/>
          <w:b w:val="0"/>
          <w:bCs/>
          <w:color w:val="auto"/>
          <w:kern w:val="0"/>
          <w:sz w:val="32"/>
          <w:szCs w:val="32"/>
          <w:highlight w:val="none"/>
          <w:lang w:val="en-US" w:eastAsia="zh-CN" w:bidi="ar-SA"/>
        </w:rPr>
        <w:t>（2022年修订）》（证监会公告〔2022〕15号）</w:t>
      </w:r>
      <w:r>
        <w:rPr>
          <w:rFonts w:hint="eastAsia" w:ascii="仿宋_GB2312" w:hAnsi="仿宋_GB2312" w:eastAsia="仿宋_GB2312" w:cs="仿宋_GB2312"/>
          <w:color w:val="auto"/>
          <w:kern w:val="0"/>
          <w:sz w:val="32"/>
          <w:szCs w:val="32"/>
          <w:highlight w:val="none"/>
          <w:lang w:val="en-US" w:eastAsia="zh-CN"/>
        </w:rPr>
        <w:t>第六条、第九条</w:t>
      </w:r>
      <w:r>
        <w:rPr>
          <w:rFonts w:hint="eastAsia" w:ascii="仿宋_GB2312" w:hAnsi="仿宋_GB2312" w:eastAsia="仿宋_GB2312" w:cs="仿宋_GB2312"/>
          <w:color w:val="auto"/>
          <w:spacing w:val="0"/>
          <w:kern w:val="0"/>
          <w:sz w:val="32"/>
          <w:szCs w:val="32"/>
          <w:highlight w:val="none"/>
          <w:lang w:val="en" w:eastAsia="zh-CN"/>
        </w:rPr>
        <w:t>的规定。</w:t>
      </w:r>
    </w:p>
    <w:p>
      <w:pPr>
        <w:keepNext w:val="0"/>
        <w:keepLines w:val="0"/>
        <w:pageBreakBefore w:val="0"/>
        <w:numPr>
          <w:ilvl w:val="0"/>
          <w:numId w:val="0"/>
        </w:numPr>
        <w:kinsoku/>
        <w:wordWrap/>
        <w:overflowPunct w:val="0"/>
        <w:topLinePunct w:val="0"/>
        <w:autoSpaceDE/>
        <w:autoSpaceDN/>
        <w:bidi w:val="0"/>
        <w:adjustRightInd w:val="0"/>
        <w:snapToGrid w:val="0"/>
        <w:spacing w:beforeLines="0" w:afterLines="0" w:line="336" w:lineRule="auto"/>
        <w:ind w:firstLine="64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b w:val="0"/>
          <w:bCs w:val="0"/>
          <w:kern w:val="0"/>
          <w:sz w:val="32"/>
          <w:szCs w:val="32"/>
          <w:highlight w:val="none"/>
          <w:lang w:val="en-US" w:eastAsia="zh-CN"/>
        </w:rPr>
        <w:t>公司</w:t>
      </w:r>
      <w:r>
        <w:rPr>
          <w:rFonts w:hint="eastAsia" w:ascii="仿宋_GB2312" w:hAnsi="仿宋_GB2312" w:eastAsia="仿宋_GB2312" w:cs="仿宋_GB2312"/>
          <w:kern w:val="0"/>
          <w:sz w:val="32"/>
          <w:szCs w:val="32"/>
          <w:highlight w:val="none"/>
          <w:lang w:val="en-US" w:eastAsia="zh-CN"/>
        </w:rPr>
        <w:t>董事长王建朝、总经理李明、财务总监王明子、董事会秘书张达霖未按照</w:t>
      </w:r>
      <w:r>
        <w:rPr>
          <w:rFonts w:hint="eastAsia" w:ascii="仿宋_GB2312" w:hAnsi="仿宋_GB2312" w:eastAsia="仿宋_GB2312" w:cs="仿宋_GB2312"/>
          <w:color w:val="auto"/>
          <w:spacing w:val="-6"/>
          <w:sz w:val="32"/>
          <w:szCs w:val="32"/>
          <w:highlight w:val="none"/>
          <w:lang w:val="en" w:eastAsia="zh-CN"/>
        </w:rPr>
        <w:t>《上市公司信息披露管理办法》（证监会令第</w:t>
      </w:r>
      <w:r>
        <w:rPr>
          <w:rFonts w:hint="eastAsia" w:ascii="仿宋_GB2312" w:hAnsi="仿宋_GB2312" w:eastAsia="仿宋_GB2312" w:cs="仿宋_GB2312"/>
          <w:color w:val="auto"/>
          <w:spacing w:val="-6"/>
          <w:sz w:val="32"/>
          <w:szCs w:val="32"/>
          <w:highlight w:val="none"/>
          <w:lang w:val="en-US" w:eastAsia="zh-CN"/>
        </w:rPr>
        <w:t>182号</w:t>
      </w:r>
      <w:r>
        <w:rPr>
          <w:rFonts w:hint="eastAsia" w:ascii="仿宋_GB2312" w:hAnsi="仿宋_GB2312" w:eastAsia="仿宋_GB2312" w:cs="仿宋_GB2312"/>
          <w:color w:val="auto"/>
          <w:spacing w:val="-6"/>
          <w:sz w:val="32"/>
          <w:szCs w:val="32"/>
          <w:highlight w:val="none"/>
          <w:lang w:val="en" w:eastAsia="zh-CN"/>
        </w:rPr>
        <w:t>）、《上市公司信息披露管理办法》（证监会令第</w:t>
      </w:r>
      <w:r>
        <w:rPr>
          <w:rFonts w:hint="eastAsia" w:ascii="仿宋_GB2312" w:hAnsi="仿宋_GB2312" w:eastAsia="宋体" w:cs="仿宋_GB2312"/>
          <w:color w:val="auto"/>
          <w:spacing w:val="-6"/>
          <w:sz w:val="32"/>
          <w:szCs w:val="32"/>
          <w:highlight w:val="none"/>
          <w:lang w:val="en-US" w:eastAsia="zh-CN"/>
        </w:rPr>
        <w:t>226</w:t>
      </w:r>
      <w:r>
        <w:rPr>
          <w:rFonts w:hint="eastAsia" w:ascii="仿宋_GB2312" w:hAnsi="仿宋_GB2312" w:eastAsia="仿宋_GB2312" w:cs="仿宋_GB2312"/>
          <w:color w:val="auto"/>
          <w:spacing w:val="-6"/>
          <w:sz w:val="32"/>
          <w:szCs w:val="32"/>
          <w:highlight w:val="none"/>
          <w:lang w:val="en-US" w:eastAsia="zh-CN"/>
        </w:rPr>
        <w:t>号</w:t>
      </w:r>
      <w:r>
        <w:rPr>
          <w:rFonts w:hint="eastAsia" w:ascii="仿宋_GB2312" w:hAnsi="仿宋_GB2312" w:eastAsia="仿宋_GB2312" w:cs="仿宋_GB2312"/>
          <w:color w:val="auto"/>
          <w:spacing w:val="-6"/>
          <w:sz w:val="32"/>
          <w:szCs w:val="32"/>
          <w:highlight w:val="none"/>
          <w:lang w:val="en" w:eastAsia="zh-CN"/>
        </w:rPr>
        <w:t>）</w:t>
      </w:r>
      <w:r>
        <w:rPr>
          <w:rFonts w:hint="eastAsia" w:ascii="仿宋_GB2312" w:hAnsi="仿宋_GB2312" w:eastAsia="仿宋_GB2312" w:cs="仿宋_GB2312"/>
          <w:sz w:val="32"/>
          <w:szCs w:val="32"/>
          <w:highlight w:val="none"/>
          <w:lang w:val="en-US" w:eastAsia="zh-CN"/>
        </w:rPr>
        <w:t>第四条</w:t>
      </w:r>
      <w:r>
        <w:rPr>
          <w:rFonts w:hint="eastAsia" w:ascii="仿宋_GB2312" w:hAnsi="仿宋_GB2312" w:eastAsia="仿宋_GB2312" w:cs="仿宋_GB2312"/>
          <w:kern w:val="0"/>
          <w:sz w:val="32"/>
          <w:szCs w:val="32"/>
          <w:highlight w:val="none"/>
          <w:lang w:val="en-US" w:eastAsia="zh-CN"/>
        </w:rPr>
        <w:t>的规定履行勤勉尽责义务，对任职期间公司上述违规行为负有主要责任。时任董事会秘书程伟未按照《上市公司信息披露管理办法》</w:t>
      </w:r>
      <w:r>
        <w:rPr>
          <w:rFonts w:hint="eastAsia" w:ascii="仿宋_GB2312" w:hAnsi="仿宋_GB2312" w:eastAsia="仿宋_GB2312" w:cs="仿宋_GB2312"/>
          <w:color w:val="auto"/>
          <w:spacing w:val="-6"/>
          <w:kern w:val="0"/>
          <w:sz w:val="32"/>
          <w:szCs w:val="32"/>
          <w:highlight w:val="none"/>
          <w:lang w:val="en" w:eastAsia="zh-CN" w:bidi="ar-SA"/>
        </w:rPr>
        <w:t>（证监会令第</w:t>
      </w:r>
      <w:r>
        <w:rPr>
          <w:rFonts w:hint="eastAsia" w:ascii="仿宋_GB2312" w:hAnsi="仿宋_GB2312" w:eastAsia="仿宋_GB2312" w:cs="仿宋_GB2312"/>
          <w:color w:val="auto"/>
          <w:spacing w:val="-6"/>
          <w:kern w:val="0"/>
          <w:sz w:val="32"/>
          <w:szCs w:val="32"/>
          <w:highlight w:val="none"/>
          <w:lang w:val="en-US" w:eastAsia="zh-CN" w:bidi="ar-SA"/>
        </w:rPr>
        <w:t>182号</w:t>
      </w:r>
      <w:r>
        <w:rPr>
          <w:rFonts w:hint="eastAsia" w:ascii="仿宋_GB2312" w:hAnsi="仿宋_GB2312" w:eastAsia="仿宋_GB2312" w:cs="仿宋_GB2312"/>
          <w:color w:val="auto"/>
          <w:spacing w:val="-6"/>
          <w:kern w:val="0"/>
          <w:sz w:val="32"/>
          <w:szCs w:val="32"/>
          <w:highlight w:val="none"/>
          <w:lang w:val="en" w:eastAsia="zh-CN" w:bidi="ar-SA"/>
        </w:rPr>
        <w:t>）</w:t>
      </w:r>
      <w:r>
        <w:rPr>
          <w:rFonts w:hint="eastAsia" w:ascii="仿宋_GB2312" w:hAnsi="仿宋_GB2312" w:eastAsia="仿宋_GB2312" w:cs="仿宋_GB2312"/>
          <w:kern w:val="0"/>
          <w:sz w:val="32"/>
          <w:szCs w:val="32"/>
          <w:highlight w:val="none"/>
          <w:lang w:val="en-US" w:eastAsia="zh-CN"/>
        </w:rPr>
        <w:t>第四条的规定履行勤勉尽责义务，对任职期间公司募集资金使用不规范行为负有主要责任。</w:t>
      </w:r>
    </w:p>
    <w:p>
      <w:pPr>
        <w:keepNext w:val="0"/>
        <w:keepLines w:val="0"/>
        <w:pageBreakBefore w:val="0"/>
        <w:kinsoku/>
        <w:wordWrap/>
        <w:overflowPunct w:val="0"/>
        <w:topLinePunct w:val="0"/>
        <w:autoSpaceDE/>
        <w:autoSpaceDN/>
        <w:bidi w:val="0"/>
        <w:adjustRightInd w:val="0"/>
        <w:snapToGrid w:val="0"/>
        <w:spacing w:beforeLines="0" w:afterLines="0" w:line="336" w:lineRule="auto"/>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 xml:space="preserve">    根据</w:t>
      </w:r>
      <w:r>
        <w:rPr>
          <w:rFonts w:hint="eastAsia" w:ascii="仿宋_GB2312" w:hAnsi="仿宋_GB2312" w:eastAsia="仿宋_GB2312" w:cs="仿宋_GB2312"/>
          <w:sz w:val="32"/>
          <w:szCs w:val="32"/>
          <w:highlight w:val="none"/>
          <w:lang w:val="en-US" w:eastAsia="zh-CN"/>
        </w:rPr>
        <w:t>《上市公司信息披露管理办法》</w:t>
      </w:r>
      <w:r>
        <w:rPr>
          <w:rFonts w:hint="eastAsia" w:ascii="仿宋_GB2312" w:hAnsi="仿宋_GB2312" w:eastAsia="仿宋_GB2312" w:cs="仿宋_GB2312"/>
          <w:color w:val="auto"/>
          <w:spacing w:val="-6"/>
          <w:sz w:val="32"/>
          <w:szCs w:val="32"/>
          <w:highlight w:val="none"/>
          <w:lang w:val="en" w:eastAsia="zh-CN"/>
        </w:rPr>
        <w:t>（证监会令第</w:t>
      </w:r>
      <w:r>
        <w:rPr>
          <w:rFonts w:hint="eastAsia" w:ascii="仿宋_GB2312" w:hAnsi="仿宋_GB2312" w:eastAsia="仿宋_GB2312" w:cs="仿宋_GB2312"/>
          <w:color w:val="auto"/>
          <w:spacing w:val="-6"/>
          <w:sz w:val="32"/>
          <w:szCs w:val="32"/>
          <w:highlight w:val="none"/>
          <w:lang w:val="en-US" w:eastAsia="zh-CN"/>
        </w:rPr>
        <w:t>182号</w:t>
      </w:r>
      <w:r>
        <w:rPr>
          <w:rFonts w:hint="eastAsia" w:ascii="仿宋_GB2312" w:hAnsi="仿宋_GB2312" w:eastAsia="仿宋_GB2312" w:cs="仿宋_GB2312"/>
          <w:color w:val="auto"/>
          <w:spacing w:val="-6"/>
          <w:sz w:val="32"/>
          <w:szCs w:val="32"/>
          <w:highlight w:val="none"/>
          <w:lang w:val="en" w:eastAsia="zh-CN"/>
        </w:rPr>
        <w:t>）</w:t>
      </w:r>
      <w:r>
        <w:rPr>
          <w:rFonts w:hint="eastAsia" w:ascii="仿宋_GB2312" w:hAnsi="仿宋_GB2312" w:eastAsia="仿宋_GB2312" w:cs="仿宋_GB2312"/>
          <w:sz w:val="32"/>
          <w:szCs w:val="32"/>
          <w:highlight w:val="none"/>
          <w:lang w:val="en-US" w:eastAsia="zh-CN"/>
        </w:rPr>
        <w:t>第五十二条、</w:t>
      </w:r>
      <w:r>
        <w:rPr>
          <w:rFonts w:hint="eastAsia" w:ascii="仿宋_GB2312" w:hAnsi="仿宋_GB2312" w:eastAsia="仿宋_GB2312" w:cs="仿宋_GB2312"/>
          <w:color w:val="auto"/>
          <w:spacing w:val="-6"/>
          <w:sz w:val="32"/>
          <w:szCs w:val="32"/>
          <w:highlight w:val="none"/>
          <w:lang w:val="en" w:eastAsia="zh-CN"/>
        </w:rPr>
        <w:t>《上市公司信息披露管理办法》（证监会令第</w:t>
      </w:r>
      <w:r>
        <w:rPr>
          <w:rFonts w:hint="eastAsia" w:ascii="仿宋_GB2312" w:hAnsi="仿宋_GB2312" w:eastAsia="宋体" w:cs="仿宋_GB2312"/>
          <w:color w:val="auto"/>
          <w:spacing w:val="-6"/>
          <w:sz w:val="32"/>
          <w:szCs w:val="32"/>
          <w:highlight w:val="none"/>
          <w:lang w:val="en-US" w:eastAsia="zh-CN"/>
        </w:rPr>
        <w:t>226</w:t>
      </w:r>
      <w:r>
        <w:rPr>
          <w:rFonts w:hint="eastAsia" w:ascii="仿宋_GB2312" w:hAnsi="仿宋_GB2312" w:eastAsia="仿宋_GB2312" w:cs="仿宋_GB2312"/>
          <w:color w:val="auto"/>
          <w:spacing w:val="-6"/>
          <w:sz w:val="32"/>
          <w:szCs w:val="32"/>
          <w:highlight w:val="none"/>
          <w:lang w:val="en-US" w:eastAsia="zh-CN"/>
        </w:rPr>
        <w:t>号</w:t>
      </w:r>
      <w:r>
        <w:rPr>
          <w:rFonts w:hint="eastAsia" w:ascii="仿宋_GB2312" w:hAnsi="仿宋_GB2312" w:eastAsia="仿宋_GB2312" w:cs="仿宋_GB2312"/>
          <w:color w:val="auto"/>
          <w:spacing w:val="-6"/>
          <w:sz w:val="32"/>
          <w:szCs w:val="32"/>
          <w:highlight w:val="none"/>
          <w:lang w:val="en" w:eastAsia="zh-CN"/>
        </w:rPr>
        <w:t>）第五十三条</w:t>
      </w:r>
      <w:r>
        <w:rPr>
          <w:rFonts w:hint="eastAsia" w:ascii="仿宋_GB2312" w:hAnsi="仿宋_GB2312" w:eastAsia="仿宋_GB2312" w:cs="仿宋_GB2312"/>
          <w:kern w:val="0"/>
          <w:sz w:val="32"/>
          <w:szCs w:val="32"/>
          <w:highlight w:val="none"/>
          <w:lang w:val="en-US" w:eastAsia="zh-CN"/>
        </w:rPr>
        <w:t>的规定，我局决定对</w:t>
      </w:r>
      <w:r>
        <w:rPr>
          <w:rFonts w:hint="eastAsia" w:ascii="仿宋_GB2312" w:hAnsi="仿宋_GB2312" w:eastAsia="仿宋_GB2312" w:cs="仿宋_GB2312"/>
          <w:kern w:val="0"/>
          <w:sz w:val="32"/>
          <w:szCs w:val="32"/>
          <w:highlight w:val="none"/>
          <w:lang w:eastAsia="zh-CN"/>
        </w:rPr>
        <w:t>公司及</w:t>
      </w:r>
      <w:r>
        <w:rPr>
          <w:rFonts w:hint="eastAsia" w:ascii="仿宋_GB2312" w:hAnsi="仿宋_GB2312" w:eastAsia="仿宋_GB2312" w:cs="仿宋_GB2312"/>
          <w:spacing w:val="0"/>
          <w:kern w:val="0"/>
          <w:sz w:val="32"/>
          <w:szCs w:val="32"/>
          <w:highlight w:val="none"/>
          <w:lang w:eastAsia="zh-CN"/>
        </w:rPr>
        <w:t>王建朝、李明、王明子、张达霖、程伟</w:t>
      </w:r>
      <w:r>
        <w:rPr>
          <w:rFonts w:hint="eastAsia" w:ascii="仿宋_GB2312" w:hAnsi="仿宋_GB2312" w:eastAsia="仿宋_GB2312" w:cs="仿宋_GB2312"/>
          <w:kern w:val="0"/>
          <w:sz w:val="32"/>
          <w:szCs w:val="32"/>
          <w:highlight w:val="none"/>
          <w:lang w:val="en-US" w:eastAsia="zh-CN"/>
        </w:rPr>
        <w:t>采取出具警示函的行政监管措施。你们应认真吸取教训，切实加强证券法律法规的学习，依法真实、准确、完整、及时、公平地履行信息披露义务。同时你公司应于收到本决定书30日内完成整改，向我局报送整改报告，并抄报深圳证券交易所。</w:t>
      </w:r>
    </w:p>
    <w:p>
      <w:pPr>
        <w:widowControl w:val="0"/>
        <w:adjustRightInd w:val="0"/>
        <w:snapToGrid w:val="0"/>
        <w:spacing w:line="336" w:lineRule="auto"/>
        <w:ind w:firstLine="0"/>
        <w:jc w:val="both"/>
        <w:textAlignment w:val="baseline"/>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highlight w:val="none"/>
          <w:lang w:val="en-US" w:eastAsia="zh-CN" w:bidi="ar-SA"/>
        </w:rPr>
        <w:t xml:space="preserve">    同时，我局正对公司差错更正事项进行核查，</w:t>
      </w:r>
      <w:r>
        <w:rPr>
          <w:rFonts w:hint="eastAsia" w:ascii="仿宋_GB2312" w:hAnsi="仿宋_GB2312" w:eastAsia="仿宋_GB2312" w:cs="仿宋_GB2312"/>
          <w:kern w:val="0"/>
          <w:sz w:val="32"/>
          <w:szCs w:val="32"/>
          <w:lang w:val="en-US" w:eastAsia="zh-CN" w:bidi="ar-SA"/>
        </w:rPr>
        <w:t>如发现存在其他违法违规行为，将采取进一步措施。</w:t>
      </w:r>
    </w:p>
    <w:p>
      <w:pPr>
        <w:keepNext w:val="0"/>
        <w:keepLines w:val="0"/>
        <w:pageBreakBefore w:val="0"/>
        <w:widowControl w:val="0"/>
        <w:suppressLineNumbers w:val="0"/>
        <w:kinsoku/>
        <w:wordWrap/>
        <w:overflowPunct w:val="0"/>
        <w:topLinePunct w:val="0"/>
        <w:autoSpaceDE/>
        <w:autoSpaceDN/>
        <w:bidi w:val="0"/>
        <w:adjustRightInd w:val="0"/>
        <w:snapToGrid w:val="0"/>
        <w:spacing w:beforeLines="0" w:afterLines="0" w:line="336" w:lineRule="auto"/>
        <w:ind w:firstLine="640" w:firstLineChars="20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如果对本行政监管措施不服，可在收到本决定书之日起60日内向中国证券监督管理委员会提出行政复议申请；也可以在收到本决定书之日起6个月内向有管辖权的人民法院提起诉讼。复议与诉讼期间，上述行政监管措施不停止执行。</w:t>
      </w: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8"/>
          <w:szCs w:val="28"/>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8"/>
          <w:szCs w:val="28"/>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8"/>
          <w:szCs w:val="28"/>
        </w:rPr>
      </w:pPr>
    </w:p>
    <w:p>
      <w:pPr>
        <w:overflowPunct w:val="0"/>
        <w:adjustRightInd w:val="0"/>
        <w:snapToGrid w:val="0"/>
        <w:spacing w:line="360" w:lineRule="auto"/>
        <w:ind w:right="1705"/>
        <w:jc w:val="right"/>
        <w:rPr>
          <w:rFonts w:hint="eastAsia" w:ascii="仿宋_GB2312" w:hAnsi="Times New Roman" w:eastAsia="仿宋_GB2312" w:cs="Times New Roman"/>
          <w:color w:val="000000"/>
          <w:sz w:val="32"/>
          <w:szCs w:val="24"/>
        </w:rPr>
      </w:pPr>
      <w:r>
        <w:rPr>
          <w:rFonts w:hint="eastAsia" w:ascii="仿宋_GB2312" w:hAnsi="Times New Roman" w:eastAsia="仿宋_GB2312" w:cs="Times New Roman"/>
          <w:color w:val="000000"/>
          <w:sz w:val="32"/>
          <w:szCs w:val="24"/>
        </w:rPr>
        <w:t>广东证监局</w:t>
      </w:r>
    </w:p>
    <w:p>
      <w:pPr>
        <w:keepNext w:val="0"/>
        <w:keepLines w:val="0"/>
        <w:pageBreakBefore w:val="0"/>
        <w:widowControl/>
        <w:numPr>
          <w:ilvl w:val="0"/>
          <w:numId w:val="0"/>
        </w:numPr>
        <w:pBdr>
          <w:top w:val="none" w:color="auto" w:sz="0" w:space="0"/>
          <w:bottom w:val="none" w:color="auto" w:sz="0" w:space="0"/>
        </w:pBdr>
        <w:kinsoku/>
        <w:wordWrap/>
        <w:overflowPunct w:val="0"/>
        <w:topLinePunct w:val="0"/>
        <w:autoSpaceDE/>
        <w:autoSpaceDN/>
        <w:bidi w:val="0"/>
        <w:adjustRightInd w:val="0"/>
        <w:snapToGrid w:val="0"/>
        <w:spacing w:beforeLines="0" w:afterLines="0" w:line="360" w:lineRule="auto"/>
        <w:ind w:firstLine="0"/>
        <w:jc w:val="center"/>
        <w:textAlignment w:val="auto"/>
        <w:outlineLvl w:val="9"/>
        <w:rPr>
          <w:rFonts w:hint="eastAsia" w:ascii="仿宋_GB2312" w:hAnsi="Calibri" w:eastAsia="仿宋_GB2312" w:cs="Times New Roman"/>
          <w:spacing w:val="8"/>
          <w:sz w:val="2"/>
          <w:szCs w:val="2"/>
        </w:rPr>
      </w:pPr>
      <w:r>
        <w:rPr>
          <w:rFonts w:hint="eastAsia" w:ascii="仿宋_GB2312" w:hAnsi="Times New Roman" w:eastAsia="仿宋_GB2312" w:cs="Times New Roman"/>
          <w:color w:val="000000"/>
          <w:spacing w:val="10"/>
          <w:sz w:val="28"/>
          <w:szCs w:val="28"/>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default"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eastAsia="zh-CN"/>
        </w:rPr>
        <w:t>2</w:t>
      </w:r>
      <w:r>
        <w:rPr>
          <w:rFonts w:hint="eastAsia" w:ascii="仿宋_GB2312" w:hAnsi="Times New Roman" w:eastAsia="仿宋_GB2312" w:cs="Times New Roman"/>
          <w:color w:val="000000"/>
          <w:spacing w:val="10"/>
          <w:sz w:val="32"/>
          <w:szCs w:val="32"/>
          <w:lang w:val="en-US" w:eastAsia="zh-CN"/>
        </w:rPr>
        <w:t>02</w:t>
      </w:r>
      <w:r>
        <w:rPr>
          <w:rFonts w:hint="default" w:ascii="仿宋_GB2312" w:hAnsi="Times New Roman" w:eastAsia="仿宋_GB2312" w:cs="Times New Roman"/>
          <w:color w:val="000000"/>
          <w:spacing w:val="10"/>
          <w:sz w:val="32"/>
          <w:szCs w:val="32"/>
          <w:lang w:val="en-US" w:eastAsia="zh-CN"/>
        </w:rPr>
        <w:t>6</w:t>
      </w:r>
      <w:r>
        <w:rPr>
          <w:rFonts w:hint="eastAsia" w:ascii="仿宋_GB2312" w:hAnsi="Times New Roman" w:eastAsia="仿宋_GB2312" w:cs="Times New Roman"/>
          <w:color w:val="000000"/>
          <w:spacing w:val="10"/>
          <w:sz w:val="32"/>
          <w:szCs w:val="32"/>
        </w:rPr>
        <w:t>年</w:t>
      </w:r>
      <w:r>
        <w:rPr>
          <w:rFonts w:hint="default" w:ascii="仿宋_GB2312" w:hAnsi="Calibri" w:eastAsia="仿宋_GB2312" w:cs="Times New Roman"/>
          <w:color w:val="000000"/>
          <w:spacing w:val="10"/>
          <w:sz w:val="32"/>
          <w:szCs w:val="32"/>
          <w:lang w:val="en-US" w:eastAsia="zh-CN"/>
        </w:rPr>
        <w:t>4</w:t>
      </w:r>
      <w:r>
        <w:rPr>
          <w:rFonts w:hint="eastAsia" w:ascii="仿宋_GB2312" w:hAnsi="Times New Roman" w:eastAsia="仿宋_GB2312" w:cs="Times New Roman"/>
          <w:color w:val="000000"/>
          <w:spacing w:val="10"/>
          <w:sz w:val="32"/>
          <w:szCs w:val="32"/>
        </w:rPr>
        <w:t>月</w:t>
      </w:r>
      <w:r>
        <w:rPr>
          <w:rFonts w:hint="default" w:ascii="仿宋_GB2312" w:hAnsi="Calibri" w:eastAsia="宋体" w:cs="Times New Roman"/>
          <w:color w:val="000000"/>
          <w:spacing w:val="10"/>
          <w:sz w:val="32"/>
          <w:szCs w:val="32"/>
          <w:lang w:val="en-US" w:eastAsia="zh-CN"/>
        </w:rPr>
        <w:t>21</w:t>
      </w:r>
      <w:r>
        <w:rPr>
          <w:rFonts w:hint="eastAsia" w:ascii="仿宋_GB2312" w:hAnsi="Times New Roman" w:eastAsia="仿宋_GB2312" w:cs="Times New Roman"/>
          <w:color w:val="000000"/>
          <w:spacing w:val="10"/>
          <w:sz w:val="32"/>
          <w:szCs w:val="32"/>
        </w:rPr>
        <w:t>日</w:t>
      </w: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pPr>
        <w:snapToGrid w:val="0"/>
        <w:spacing w:line="360" w:lineRule="auto"/>
        <w:ind w:right="28"/>
        <w:jc w:val="left"/>
        <w:rPr>
          <w:rFonts w:ascii="黑体" w:hAnsi="Calibri" w:eastAsia="黑体" w:cs="Times New Roman"/>
          <w:spacing w:val="8"/>
          <w:sz w:val="32"/>
          <w:szCs w:val="32"/>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pPr>
        <w:snapToGrid w:val="0"/>
        <w:spacing w:line="360" w:lineRule="auto"/>
        <w:ind w:right="28"/>
        <w:jc w:val="left"/>
        <w:rPr>
          <w:rFonts w:ascii="黑体" w:hAnsi="Calibri" w:eastAsia="黑体" w:cs="Times New Roman"/>
          <w:spacing w:val="8"/>
          <w:sz w:val="32"/>
          <w:szCs w:val="32"/>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pPr>
        <w:snapToGrid w:val="0"/>
        <w:spacing w:line="360" w:lineRule="auto"/>
        <w:ind w:right="28"/>
        <w:jc w:val="left"/>
        <w:rPr>
          <w:rFonts w:ascii="黑体" w:hAnsi="Calibri" w:eastAsia="黑体" w:cs="Times New Roman"/>
          <w:spacing w:val="8"/>
          <w:sz w:val="32"/>
          <w:szCs w:val="32"/>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pPr>
        <w:snapToGrid w:val="0"/>
        <w:spacing w:line="300" w:lineRule="auto"/>
        <w:ind w:right="26"/>
        <w:jc w:val="left"/>
        <w:rPr>
          <w:rFonts w:hint="eastAsia" w:ascii="黑体" w:hAnsi="Calibri" w:eastAsia="黑体" w:cs="Times New Roman"/>
          <w:spacing w:val="8"/>
          <w:sz w:val="24"/>
          <w:szCs w:val="21"/>
        </w:rPr>
      </w:pPr>
    </w:p>
    <w:p>
      <w:pPr>
        <w:keepNext w:val="0"/>
        <w:keepLines w:val="0"/>
        <w:pageBreakBefore w:val="0"/>
        <w:widowControl w:val="0"/>
        <w:pBdr>
          <w:top w:val="single" w:color="auto" w:sz="8" w:space="6"/>
        </w:pBdr>
        <w:kinsoku/>
        <w:wordWrap/>
        <w:overflowPunct/>
        <w:topLinePunct w:val="0"/>
        <w:autoSpaceDE/>
        <w:autoSpaceDN/>
        <w:bidi w:val="0"/>
        <w:adjustRightInd w:val="0"/>
        <w:snapToGrid w:val="0"/>
        <w:spacing w:after="109" w:afterLines="35"/>
        <w:ind w:firstLine="296" w:firstLineChars="100"/>
        <w:textAlignment w:val="auto"/>
        <w:rPr>
          <w:rFonts w:ascii="长城仿宋" w:hAnsi="Calibri" w:eastAsia="长城仿宋" w:cs="Times New Roman"/>
          <w:sz w:val="28"/>
          <w:szCs w:val="24"/>
        </w:rPr>
      </w:pPr>
      <w:r>
        <w:rPr>
          <w:rFonts w:hint="eastAsia" w:ascii="仿宋_GB2312" w:hAnsi="Calibri" w:eastAsia="仿宋_GB2312" w:cs="Times New Roman"/>
          <w:spacing w:val="8"/>
          <w:sz w:val="28"/>
          <w:szCs w:val="24"/>
        </w:rPr>
        <w:t>抄送：证监会上市司、法治司；</w:t>
      </w:r>
      <w:r>
        <w:rPr>
          <w:rFonts w:hint="eastAsia" w:ascii="仿宋_GB2312" w:hAnsi="Times New Roman" w:eastAsia="仿宋_GB2312" w:cs="Times New Roman"/>
          <w:spacing w:val="11"/>
          <w:sz w:val="28"/>
          <w:szCs w:val="20"/>
        </w:rPr>
        <w:t>深圳</w:t>
      </w:r>
      <w:r>
        <w:rPr>
          <w:rFonts w:hint="eastAsia" w:ascii="仿宋_GB2312" w:hAnsi="Calibri" w:eastAsia="仿宋_GB2312" w:cs="Times New Roman"/>
          <w:spacing w:val="8"/>
          <w:sz w:val="28"/>
          <w:szCs w:val="24"/>
        </w:rPr>
        <w:t>证券交易所。</w:t>
      </w:r>
    </w:p>
    <w:p>
      <w:pPr>
        <w:keepNext w:val="0"/>
        <w:keepLines w:val="0"/>
        <w:pageBreakBefore w:val="0"/>
        <w:widowControl w:val="0"/>
        <w:pBdr>
          <w:top w:val="single" w:color="auto" w:sz="4" w:space="6"/>
        </w:pBdr>
        <w:kinsoku/>
        <w:wordWrap/>
        <w:overflowPunct/>
        <w:topLinePunct w:val="0"/>
        <w:autoSpaceDE/>
        <w:autoSpaceDN/>
        <w:bidi w:val="0"/>
        <w:adjustRightInd w:val="0"/>
        <w:snapToGrid w:val="0"/>
        <w:spacing w:after="109" w:afterLines="35"/>
        <w:ind w:firstLine="296" w:firstLineChars="100"/>
        <w:jc w:val="left"/>
        <w:textAlignment w:val="auto"/>
        <w:rPr>
          <w:rFonts w:hint="eastAsia" w:ascii="仿宋_GB2312" w:hAnsi="Calibri" w:eastAsia="仿宋_GB2312" w:cs="Times New Roman"/>
          <w:spacing w:val="8"/>
          <w:sz w:val="28"/>
          <w:szCs w:val="24"/>
        </w:rPr>
      </w:pPr>
      <w:r>
        <w:rPr>
          <w:rFonts w:hint="eastAsia" w:ascii="仿宋_GB2312" w:hAnsi="Calibri" w:eastAsia="仿宋_GB2312" w:cs="Times New Roman"/>
          <w:spacing w:val="8"/>
          <w:sz w:val="28"/>
          <w:szCs w:val="24"/>
        </w:rPr>
        <w:t xml:space="preserve">广东证监局办公室            </w:t>
      </w:r>
      <w:r>
        <w:rPr>
          <w:rFonts w:hint="default" w:ascii="仿宋_GB2312" w:hAnsi="Calibri" w:eastAsia="仿宋_GB2312" w:cs="Times New Roman"/>
          <w:spacing w:val="8"/>
          <w:sz w:val="28"/>
          <w:szCs w:val="24"/>
          <w:lang w:val="en-US"/>
        </w:rPr>
        <w:t xml:space="preserve">      </w:t>
      </w:r>
      <w:r>
        <w:rPr>
          <w:rFonts w:hint="eastAsia" w:ascii="仿宋_GB2312" w:hAnsi="Calibri" w:eastAsia="仿宋_GB2312" w:cs="Times New Roman"/>
          <w:spacing w:val="8"/>
          <w:sz w:val="28"/>
          <w:szCs w:val="24"/>
        </w:rPr>
        <w:t xml:space="preserve"> </w:t>
      </w:r>
      <w:r>
        <w:rPr>
          <w:rFonts w:hint="default" w:ascii="仿宋_GB2312" w:hAnsi="Calibri" w:eastAsia="仿宋_GB2312" w:cs="Times New Roman"/>
          <w:spacing w:val="8"/>
          <w:sz w:val="28"/>
          <w:szCs w:val="24"/>
          <w:lang w:val="en" w:eastAsia="zh-CN"/>
        </w:rPr>
        <w:t>202</w:t>
      </w:r>
      <w:r>
        <w:rPr>
          <w:rFonts w:hint="default" w:ascii="仿宋_GB2312" w:hAnsi="Calibri" w:eastAsia="仿宋_GB2312" w:cs="Times New Roman"/>
          <w:spacing w:val="8"/>
          <w:sz w:val="28"/>
          <w:szCs w:val="24"/>
          <w:lang w:val="en-US" w:eastAsia="zh-CN"/>
        </w:rPr>
        <w:t>6</w:t>
      </w:r>
      <w:r>
        <w:rPr>
          <w:rFonts w:hint="eastAsia" w:ascii="仿宋_GB2312" w:hAnsi="Calibri" w:eastAsia="仿宋_GB2312" w:cs="Times New Roman"/>
          <w:spacing w:val="8"/>
          <w:sz w:val="28"/>
          <w:szCs w:val="24"/>
        </w:rPr>
        <w:t>年</w:t>
      </w:r>
      <w:r>
        <w:rPr>
          <w:rFonts w:hint="default" w:ascii="仿宋_GB2312" w:hAnsi="Calibri" w:eastAsia="仿宋_GB2312" w:cs="Times New Roman"/>
          <w:spacing w:val="8"/>
          <w:sz w:val="28"/>
          <w:szCs w:val="24"/>
          <w:lang w:val="en-US"/>
        </w:rPr>
        <w:t>4</w:t>
      </w:r>
      <w:r>
        <w:rPr>
          <w:rFonts w:hint="eastAsia" w:ascii="仿宋_GB2312" w:hAnsi="Calibri" w:eastAsia="仿宋_GB2312" w:cs="Times New Roman"/>
          <w:spacing w:val="8"/>
          <w:sz w:val="28"/>
          <w:szCs w:val="24"/>
        </w:rPr>
        <w:t>月</w:t>
      </w:r>
      <w:r>
        <w:rPr>
          <w:rFonts w:hint="default" w:ascii="仿宋_GB2312" w:hAnsi="Calibri" w:eastAsia="仿宋_GB2312" w:cs="Times New Roman"/>
          <w:spacing w:val="8"/>
          <w:sz w:val="28"/>
          <w:szCs w:val="24"/>
          <w:lang w:val="en-US"/>
        </w:rPr>
        <w:t>27</w:t>
      </w:r>
      <w:r>
        <w:rPr>
          <w:rFonts w:hint="eastAsia" w:ascii="仿宋_GB2312" w:hAnsi="Calibri" w:eastAsia="仿宋_GB2312" w:cs="Times New Roman"/>
          <w:spacing w:val="8"/>
          <w:sz w:val="28"/>
          <w:szCs w:val="24"/>
        </w:rPr>
        <w:t>日印发</w:t>
      </w:r>
    </w:p>
    <w:bookmarkEnd w:id="1"/>
    <w:p>
      <w:pPr>
        <w:keepNext w:val="0"/>
        <w:keepLines w:val="0"/>
        <w:pageBreakBefore w:val="0"/>
        <w:widowControl w:val="0"/>
        <w:pBdr>
          <w:top w:val="single" w:color="auto" w:sz="8" w:space="7"/>
        </w:pBdr>
        <w:kinsoku/>
        <w:wordWrap/>
        <w:overflowPunct w:val="0"/>
        <w:topLinePunct w:val="0"/>
        <w:autoSpaceDE/>
        <w:autoSpaceDN/>
        <w:bidi w:val="0"/>
        <w:adjustRightInd w:val="0"/>
        <w:snapToGrid w:val="0"/>
        <w:spacing w:beforeLines="0" w:afterLines="0" w:line="240" w:lineRule="auto"/>
        <w:ind w:firstLine="0"/>
        <w:jc w:val="left"/>
        <w:textAlignment w:val="auto"/>
        <w:rPr>
          <w:rFonts w:hint="eastAsia" w:ascii="仿宋_GB2312" w:hAnsi="Calibri" w:eastAsia="仿宋_GB2312" w:cs="Times New Roman"/>
          <w:spacing w:val="8"/>
          <w:sz w:val="2"/>
          <w:szCs w:val="2"/>
        </w:rPr>
      </w:pPr>
    </w:p>
    <w:sectPr>
      <w:footerReference r:id="rId3" w:type="default"/>
      <w:pgSz w:w="11906" w:h="16838"/>
      <w:pgMar w:top="2097" w:right="1474" w:bottom="1984" w:left="1587" w:header="851" w:footer="1587"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长城仿宋">
    <w:altName w:val="宋体"/>
    <w:panose1 w:val="02010609000101010101"/>
    <w:charset w:val="00"/>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rPr>
        <w:rFonts w:hint="eastAsia" w:ascii="宋体" w:hAnsi="宋体" w:eastAsia="宋体" w:cs="宋体"/>
        <w:sz w:val="28"/>
        <w:lang w:val="en-US"/>
      </w:rPr>
    </w:pPr>
    <w:r>
      <w:rPr>
        <w:rFonts w:hint="eastAsia" w:ascii="宋体" w:hAnsi="宋体" w:eastAsia="宋体" w:cs="宋体"/>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top</wp:align>
              </wp:positionV>
              <wp:extent cx="1828800" cy="18288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lang w:val="en-US"/>
                            </w:rPr>
                          </w:pP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height:144pt;width:144pt;mso-position-horizontal:outside;mso-position-horizontal-relative:margin;mso-position-vertical:top;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">
              <v:fill on="f" focussize="0,0"/>
              <v:stroke on="f" weight="0.5pt"/>
              <v:imagedata o:title=""/>
              <o:lock v:ext="edit" aspectratio="f"/>
              <v:textbox inset="0mm,0mm,0mm,0mm" style="mso-fit-shape-to-text:t;">
                <w:txbxContent>
                  <w:p>
                    <w:pPr>
                      <w:rPr>
                        <w:rFonts w:hint="eastAsia" w:ascii="宋体" w:hAnsi="宋体" w:eastAsia="宋体" w:cs="宋体"/>
                        <w:sz w:val="28"/>
                        <w:lang w:val="en-US"/>
                      </w:rPr>
                    </w:pP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documentProtection w:edit="readOnly" w:enforcement="0"/>
  <w:defaultTabStop w:val="420"/>
  <w:drawingGridHorizontalSpacing w:val="21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D6C92"/>
    <w:rsid w:val="275FC816"/>
    <w:rsid w:val="356F2218"/>
    <w:rsid w:val="3BFB1B46"/>
    <w:rsid w:val="3D9EF2CD"/>
    <w:rsid w:val="3DEF5532"/>
    <w:rsid w:val="3ECFF635"/>
    <w:rsid w:val="3F7F928E"/>
    <w:rsid w:val="4F4634A4"/>
    <w:rsid w:val="5D57AF11"/>
    <w:rsid w:val="5FBD977E"/>
    <w:rsid w:val="5FFC9959"/>
    <w:rsid w:val="677E3120"/>
    <w:rsid w:val="76D7693D"/>
    <w:rsid w:val="7BDF9D47"/>
    <w:rsid w:val="7DC7976B"/>
    <w:rsid w:val="7ED68542"/>
    <w:rsid w:val="7FED6C92"/>
    <w:rsid w:val="7FFFF7D2"/>
    <w:rsid w:val="AD5FAF90"/>
    <w:rsid w:val="AF6FD0A2"/>
    <w:rsid w:val="AFFF9D6F"/>
    <w:rsid w:val="D5DFE173"/>
    <w:rsid w:val="DDFD567E"/>
    <w:rsid w:val="DEFDE12E"/>
    <w:rsid w:val="E5EF2CFC"/>
    <w:rsid w:val="EBDB962C"/>
    <w:rsid w:val="F64D7CCC"/>
    <w:rsid w:val="F75F7A8D"/>
    <w:rsid w:val="FD7A0DCC"/>
    <w:rsid w:val="FEEEEDA5"/>
    <w:rsid w:val="FFFDB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ormalIndent"/>
    <w:basedOn w:val="1"/>
    <w:next w:val="1"/>
    <w:qFormat/>
    <w:uiPriority w:val="0"/>
    <w:pPr>
      <w:spacing w:line="240" w:lineRule="auto"/>
      <w:ind w:firstLine="420"/>
      <w:jc w:val="both"/>
      <w:textAlignment w:val="baseline"/>
    </w:pPr>
    <w:rPr>
      <w:rFonts w:ascii="宋体" w:hAnsi="Calibri"/>
      <w:kern w:val="0"/>
      <w:sz w:val="21"/>
      <w:szCs w:val="24"/>
      <w:lang w:val="en-US" w:eastAsia="zh-CN" w:bidi="ar-SA"/>
    </w:rPr>
  </w:style>
  <w:style w:type="paragraph" w:customStyle="1" w:styleId="7">
    <w:name w:val="p0"/>
    <w:basedOn w:val="1"/>
    <w:qFormat/>
    <w:uiPriority w:val="0"/>
    <w:pPr>
      <w:widowControl/>
    </w:pPr>
    <w:rPr>
      <w:rFonts w:hint="eastAsi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2026-04-09T08:03:00Z</dcterms:created>
  <dc:creator>胡荣华</dc:creator>
  <cp:lastModifiedBy>胡荣华：主办人校对</cp:lastModifiedBy>
  <cp:lastPrinted>2026-04-30T01:49:00Z</cp:lastPrinted>
  <dcterms:modified xsi:type="dcterms:W3CDTF">2026-04-30T14:29:08Z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70E856154F8C9480C0F5F269CC225CB3</vt:lpwstr>
  </property>
</Properties>
</file>