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805BDF">
      <w:pPr>
        <w:pStyle w:val="2"/>
        <w:jc w:val="center"/>
      </w:pPr>
      <w:r>
        <w:rPr>
          <w:rFonts w:hint="eastAsia"/>
        </w:rPr>
        <w:t>重庆望变电气（集团）股份有限公司</w:t>
      </w:r>
    </w:p>
    <w:p w14:paraId="213CC53A">
      <w:pPr>
        <w:pStyle w:val="2"/>
        <w:jc w:val="center"/>
      </w:pPr>
      <w:r>
        <w:rPr>
          <w:rFonts w:hint="eastAsia"/>
        </w:rPr>
        <w:t>投资者关系活动记录表</w:t>
      </w:r>
    </w:p>
    <w:tbl>
      <w:tblPr>
        <w:tblStyle w:val="13"/>
        <w:tblW w:w="84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2"/>
        <w:gridCol w:w="3637"/>
        <w:gridCol w:w="3025"/>
      </w:tblGrid>
      <w:tr w14:paraId="4B755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8" w:hRule="atLeast"/>
          <w:jc w:val="center"/>
        </w:trPr>
        <w:tc>
          <w:tcPr>
            <w:tcW w:w="1792" w:type="dxa"/>
            <w:tcBorders>
              <w:right w:val="single" w:color="auto" w:sz="4" w:space="0"/>
            </w:tcBorders>
          </w:tcPr>
          <w:p w14:paraId="28585E2D">
            <w:pPr>
              <w:spacing w:line="360" w:lineRule="auto"/>
              <w:jc w:val="left"/>
              <w:rPr>
                <w:b/>
                <w:bCs/>
                <w:color w:val="auto"/>
                <w:sz w:val="24"/>
                <w:szCs w:val="32"/>
                <w:highlight w:val="none"/>
              </w:rPr>
            </w:pPr>
          </w:p>
          <w:p w14:paraId="158AF0D3">
            <w:pPr>
              <w:spacing w:line="360" w:lineRule="auto"/>
              <w:jc w:val="left"/>
              <w:rPr>
                <w:b/>
                <w:bCs/>
                <w:color w:val="auto"/>
                <w:sz w:val="24"/>
                <w:szCs w:val="32"/>
                <w:highlight w:val="none"/>
              </w:rPr>
            </w:pPr>
          </w:p>
          <w:p w14:paraId="1E9F88F7">
            <w:pPr>
              <w:spacing w:line="360" w:lineRule="auto"/>
              <w:jc w:val="left"/>
              <w:rPr>
                <w:b/>
                <w:bCs/>
                <w:color w:val="auto"/>
                <w:sz w:val="24"/>
                <w:szCs w:val="32"/>
                <w:highlight w:val="none"/>
              </w:rPr>
            </w:pPr>
          </w:p>
          <w:p w14:paraId="6E7CC438">
            <w:pPr>
              <w:spacing w:line="360" w:lineRule="auto"/>
              <w:jc w:val="left"/>
              <w:rPr>
                <w:b/>
                <w:bCs/>
                <w:color w:val="auto"/>
                <w:sz w:val="24"/>
                <w:szCs w:val="32"/>
                <w:highlight w:val="none"/>
              </w:rPr>
            </w:pPr>
            <w:r>
              <w:rPr>
                <w:rFonts w:hint="eastAsia" w:ascii="仿宋" w:hAnsi="仿宋" w:eastAsia="仿宋" w:cs="仿宋"/>
                <w:b/>
                <w:bCs/>
                <w:color w:val="auto"/>
                <w:spacing w:val="-2"/>
                <w:sz w:val="28"/>
                <w:szCs w:val="28"/>
                <w:highlight w:val="none"/>
              </w:rPr>
              <w:t>投资者关系活动类别</w:t>
            </w:r>
          </w:p>
        </w:tc>
        <w:tc>
          <w:tcPr>
            <w:tcW w:w="3637" w:type="dxa"/>
            <w:tcBorders>
              <w:top w:val="single" w:color="auto" w:sz="4" w:space="0"/>
              <w:left w:val="single" w:color="auto" w:sz="4" w:space="0"/>
              <w:bottom w:val="single" w:color="auto" w:sz="4" w:space="0"/>
              <w:right w:val="nil"/>
            </w:tcBorders>
          </w:tcPr>
          <w:p w14:paraId="472B611F">
            <w:pPr>
              <w:spacing w:before="57" w:line="360" w:lineRule="auto"/>
              <w:jc w:val="left"/>
              <w:rPr>
                <w:rFonts w:hint="eastAsia" w:ascii="仿宋" w:hAnsi="仿宋" w:eastAsia="仿宋" w:cs="仿宋"/>
                <w:color w:val="auto"/>
                <w:sz w:val="28"/>
                <w:szCs w:val="28"/>
                <w:highlight w:val="none"/>
              </w:rPr>
            </w:pPr>
            <w:r>
              <w:rPr>
                <w:rFonts w:hint="eastAsia" w:ascii="仿宋" w:hAnsi="仿宋" w:eastAsia="仿宋" w:cs="仿宋"/>
                <w:color w:val="auto"/>
                <w:spacing w:val="5"/>
                <w:sz w:val="28"/>
                <w:szCs w:val="28"/>
                <w:highlight w:val="none"/>
              </w:rPr>
              <w:sym w:font="Wingdings 2" w:char="00A3"/>
            </w:r>
            <w:r>
              <w:rPr>
                <w:rFonts w:hint="eastAsia" w:ascii="仿宋" w:hAnsi="仿宋" w:eastAsia="仿宋" w:cs="仿宋"/>
                <w:color w:val="auto"/>
                <w:spacing w:val="6"/>
                <w:position w:val="7"/>
                <w:sz w:val="28"/>
                <w:szCs w:val="28"/>
                <w:highlight w:val="none"/>
              </w:rPr>
              <w:t>特定对象调</w:t>
            </w:r>
            <w:r>
              <w:rPr>
                <w:rFonts w:hint="eastAsia" w:ascii="仿宋" w:hAnsi="仿宋" w:eastAsia="仿宋" w:cs="仿宋"/>
                <w:color w:val="auto"/>
                <w:spacing w:val="5"/>
                <w:position w:val="7"/>
                <w:sz w:val="28"/>
                <w:szCs w:val="28"/>
                <w:highlight w:val="none"/>
              </w:rPr>
              <w:t>研</w:t>
            </w:r>
          </w:p>
          <w:p w14:paraId="5F64B230">
            <w:pPr>
              <w:spacing w:line="360" w:lineRule="auto"/>
              <w:jc w:val="left"/>
              <w:rPr>
                <w:rFonts w:hint="eastAsia" w:ascii="仿宋" w:hAnsi="仿宋" w:eastAsia="仿宋" w:cs="仿宋"/>
                <w:color w:val="auto"/>
                <w:sz w:val="28"/>
                <w:szCs w:val="28"/>
                <w:highlight w:val="none"/>
              </w:rPr>
            </w:pPr>
            <w:r>
              <w:rPr>
                <w:rFonts w:hint="eastAsia" w:ascii="仿宋" w:hAnsi="仿宋" w:eastAsia="仿宋" w:cs="仿宋"/>
                <w:color w:val="auto"/>
                <w:spacing w:val="5"/>
                <w:sz w:val="28"/>
                <w:szCs w:val="28"/>
                <w:highlight w:val="none"/>
              </w:rPr>
              <w:sym w:font="Wingdings 2" w:char="00A3"/>
            </w:r>
            <w:r>
              <w:rPr>
                <w:rFonts w:hint="eastAsia" w:ascii="仿宋" w:hAnsi="仿宋" w:eastAsia="仿宋" w:cs="仿宋"/>
                <w:color w:val="auto"/>
                <w:spacing w:val="4"/>
                <w:sz w:val="28"/>
                <w:szCs w:val="28"/>
                <w:highlight w:val="none"/>
              </w:rPr>
              <w:t>媒体采访</w:t>
            </w:r>
          </w:p>
          <w:p w14:paraId="71D770AD">
            <w:pPr>
              <w:spacing w:before="66" w:line="360" w:lineRule="auto"/>
              <w:jc w:val="left"/>
              <w:rPr>
                <w:rFonts w:hint="eastAsia" w:ascii="仿宋" w:hAnsi="仿宋" w:eastAsia="仿宋" w:cs="仿宋"/>
                <w:color w:val="auto"/>
                <w:sz w:val="28"/>
                <w:szCs w:val="28"/>
                <w:highlight w:val="none"/>
              </w:rPr>
            </w:pPr>
            <w:r>
              <w:rPr>
                <w:rFonts w:hint="eastAsia" w:ascii="仿宋" w:hAnsi="仿宋" w:eastAsia="仿宋" w:cs="仿宋"/>
                <w:color w:val="auto"/>
                <w:spacing w:val="5"/>
                <w:sz w:val="28"/>
                <w:szCs w:val="28"/>
                <w:highlight w:val="none"/>
              </w:rPr>
              <w:sym w:font="Wingdings 2" w:char="00A3"/>
            </w:r>
            <w:r>
              <w:rPr>
                <w:rFonts w:hint="eastAsia" w:ascii="仿宋" w:hAnsi="仿宋" w:eastAsia="仿宋" w:cs="仿宋"/>
                <w:color w:val="auto"/>
                <w:spacing w:val="5"/>
                <w:sz w:val="28"/>
                <w:szCs w:val="28"/>
                <w:highlight w:val="none"/>
              </w:rPr>
              <w:t>新闻发布会</w:t>
            </w:r>
          </w:p>
          <w:p w14:paraId="7E3BB962">
            <w:pPr>
              <w:spacing w:before="69" w:line="360" w:lineRule="auto"/>
              <w:jc w:val="left"/>
              <w:rPr>
                <w:rFonts w:hint="eastAsia" w:ascii="仿宋" w:hAnsi="仿宋" w:eastAsia="仿宋" w:cs="仿宋"/>
                <w:color w:val="auto"/>
                <w:sz w:val="28"/>
                <w:szCs w:val="28"/>
                <w:highlight w:val="none"/>
              </w:rPr>
            </w:pPr>
            <w:r>
              <w:rPr>
                <w:rFonts w:hint="eastAsia" w:ascii="仿宋" w:hAnsi="仿宋" w:eastAsia="仿宋" w:cs="仿宋"/>
                <w:color w:val="auto"/>
                <w:spacing w:val="5"/>
                <w:sz w:val="28"/>
                <w:szCs w:val="28"/>
                <w:highlight w:val="none"/>
              </w:rPr>
              <w:sym w:font="Wingdings 2" w:char="0052"/>
            </w:r>
            <w:r>
              <w:rPr>
                <w:rFonts w:hint="eastAsia" w:ascii="仿宋" w:hAnsi="仿宋" w:eastAsia="仿宋" w:cs="仿宋"/>
                <w:color w:val="auto"/>
                <w:spacing w:val="4"/>
                <w:sz w:val="28"/>
                <w:szCs w:val="28"/>
                <w:highlight w:val="none"/>
              </w:rPr>
              <w:t>现场参观</w:t>
            </w:r>
          </w:p>
          <w:p w14:paraId="1CD1B058">
            <w:pPr>
              <w:spacing w:before="69" w:line="360" w:lineRule="auto"/>
              <w:jc w:val="left"/>
              <w:rPr>
                <w:rFonts w:eastAsia="仿宋"/>
                <w:color w:val="auto"/>
                <w:highlight w:val="none"/>
              </w:rPr>
            </w:pPr>
            <w:r>
              <w:rPr>
                <w:rFonts w:hint="eastAsia" w:ascii="仿宋" w:hAnsi="仿宋" w:eastAsia="仿宋" w:cs="仿宋"/>
                <w:color w:val="auto"/>
                <w:spacing w:val="5"/>
                <w:sz w:val="28"/>
                <w:szCs w:val="28"/>
                <w:highlight w:val="none"/>
              </w:rPr>
              <w:sym w:font="Wingdings 2" w:char="0052"/>
            </w:r>
            <w:r>
              <w:rPr>
                <w:rFonts w:hint="eastAsia" w:ascii="仿宋" w:hAnsi="仿宋" w:eastAsia="仿宋" w:cs="仿宋"/>
                <w:color w:val="auto"/>
                <w:spacing w:val="4"/>
                <w:sz w:val="28"/>
                <w:szCs w:val="28"/>
                <w:highlight w:val="none"/>
              </w:rPr>
              <w:t>其他</w:t>
            </w:r>
          </w:p>
        </w:tc>
        <w:tc>
          <w:tcPr>
            <w:tcW w:w="3025" w:type="dxa"/>
            <w:tcBorders>
              <w:top w:val="single" w:color="auto" w:sz="4" w:space="0"/>
              <w:left w:val="nil"/>
              <w:bottom w:val="single" w:color="auto" w:sz="4" w:space="0"/>
              <w:right w:val="single" w:color="auto" w:sz="4" w:space="0"/>
            </w:tcBorders>
          </w:tcPr>
          <w:p w14:paraId="2597400C">
            <w:pPr>
              <w:spacing w:before="57" w:line="360" w:lineRule="auto"/>
              <w:jc w:val="left"/>
              <w:rPr>
                <w:rFonts w:hint="eastAsia" w:ascii="仿宋" w:hAnsi="仿宋" w:eastAsia="仿宋" w:cs="仿宋"/>
                <w:color w:val="auto"/>
                <w:sz w:val="28"/>
                <w:szCs w:val="28"/>
                <w:highlight w:val="none"/>
              </w:rPr>
            </w:pPr>
            <w:r>
              <w:rPr>
                <w:rFonts w:hint="eastAsia" w:ascii="仿宋" w:hAnsi="仿宋" w:eastAsia="仿宋" w:cs="仿宋"/>
                <w:color w:val="auto"/>
                <w:spacing w:val="5"/>
                <w:sz w:val="28"/>
                <w:szCs w:val="28"/>
                <w:highlight w:val="none"/>
              </w:rPr>
              <w:sym w:font="Wingdings 2" w:char="00A3"/>
            </w:r>
            <w:r>
              <w:rPr>
                <w:rFonts w:hint="eastAsia" w:ascii="仿宋" w:hAnsi="仿宋" w:eastAsia="仿宋" w:cs="仿宋"/>
                <w:color w:val="auto"/>
                <w:spacing w:val="5"/>
                <w:position w:val="7"/>
                <w:sz w:val="28"/>
                <w:szCs w:val="28"/>
                <w:highlight w:val="none"/>
              </w:rPr>
              <w:t>分析师会议</w:t>
            </w:r>
          </w:p>
          <w:p w14:paraId="312244A5">
            <w:pPr>
              <w:spacing w:line="360" w:lineRule="auto"/>
              <w:jc w:val="left"/>
              <w:rPr>
                <w:rFonts w:hint="eastAsia" w:ascii="仿宋" w:hAnsi="仿宋" w:eastAsia="仿宋" w:cs="仿宋"/>
                <w:color w:val="auto"/>
                <w:sz w:val="28"/>
                <w:szCs w:val="28"/>
                <w:highlight w:val="none"/>
              </w:rPr>
            </w:pPr>
            <w:r>
              <w:rPr>
                <w:rFonts w:hint="eastAsia" w:ascii="仿宋" w:hAnsi="仿宋" w:eastAsia="仿宋" w:cs="仿宋"/>
                <w:color w:val="auto"/>
                <w:spacing w:val="5"/>
                <w:sz w:val="28"/>
                <w:szCs w:val="28"/>
                <w:highlight w:val="none"/>
              </w:rPr>
              <w:sym w:font="Wingdings 2" w:char="0052"/>
            </w:r>
            <w:r>
              <w:rPr>
                <w:rFonts w:hint="eastAsia" w:ascii="仿宋" w:hAnsi="仿宋" w:eastAsia="仿宋" w:cs="仿宋"/>
                <w:color w:val="auto"/>
                <w:spacing w:val="5"/>
                <w:sz w:val="28"/>
                <w:szCs w:val="28"/>
                <w:highlight w:val="none"/>
              </w:rPr>
              <w:t>业绩说明会</w:t>
            </w:r>
          </w:p>
          <w:p w14:paraId="1884BF93">
            <w:pPr>
              <w:spacing w:before="69" w:line="360" w:lineRule="auto"/>
              <w:jc w:val="left"/>
              <w:rPr>
                <w:rFonts w:hint="eastAsia" w:ascii="仿宋" w:hAnsi="仿宋" w:eastAsia="仿宋" w:cs="仿宋"/>
                <w:color w:val="auto"/>
                <w:sz w:val="28"/>
                <w:szCs w:val="28"/>
                <w:highlight w:val="none"/>
              </w:rPr>
            </w:pPr>
            <w:r>
              <w:rPr>
                <w:rFonts w:hint="eastAsia" w:ascii="仿宋" w:hAnsi="仿宋" w:eastAsia="仿宋" w:cs="仿宋"/>
                <w:color w:val="auto"/>
                <w:spacing w:val="5"/>
                <w:sz w:val="28"/>
                <w:szCs w:val="28"/>
                <w:highlight w:val="none"/>
              </w:rPr>
              <w:sym w:font="Wingdings 2" w:char="00A3"/>
            </w:r>
            <w:r>
              <w:rPr>
                <w:rFonts w:hint="eastAsia" w:ascii="仿宋" w:hAnsi="仿宋" w:eastAsia="仿宋" w:cs="仿宋"/>
                <w:color w:val="auto"/>
                <w:spacing w:val="4"/>
                <w:sz w:val="28"/>
                <w:szCs w:val="28"/>
                <w:highlight w:val="none"/>
              </w:rPr>
              <w:t>路演活动</w:t>
            </w:r>
          </w:p>
          <w:p w14:paraId="52E59CEB">
            <w:pPr>
              <w:spacing w:line="360" w:lineRule="auto"/>
              <w:jc w:val="left"/>
              <w:rPr>
                <w:color w:val="auto"/>
                <w:highlight w:val="none"/>
              </w:rPr>
            </w:pPr>
            <w:r>
              <w:rPr>
                <w:rFonts w:hint="eastAsia" w:ascii="仿宋" w:hAnsi="仿宋" w:eastAsia="仿宋" w:cs="仿宋"/>
                <w:color w:val="auto"/>
                <w:spacing w:val="5"/>
                <w:sz w:val="28"/>
                <w:szCs w:val="28"/>
                <w:highlight w:val="none"/>
              </w:rPr>
              <w:sym w:font="Wingdings 2" w:char="00A3"/>
            </w:r>
            <w:r>
              <w:rPr>
                <w:rFonts w:hint="eastAsia" w:ascii="仿宋" w:hAnsi="仿宋" w:eastAsia="仿宋" w:cs="仿宋"/>
                <w:color w:val="auto"/>
                <w:spacing w:val="5"/>
                <w:sz w:val="28"/>
                <w:szCs w:val="28"/>
                <w:highlight w:val="none"/>
              </w:rPr>
              <w:t>电话调研</w:t>
            </w:r>
          </w:p>
        </w:tc>
      </w:tr>
      <w:tr w14:paraId="2615F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792" w:type="dxa"/>
          </w:tcPr>
          <w:p w14:paraId="503C1C71">
            <w:pPr>
              <w:spacing w:line="360" w:lineRule="auto"/>
              <w:jc w:val="left"/>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调研人员（单位）</w:t>
            </w:r>
          </w:p>
        </w:tc>
        <w:tc>
          <w:tcPr>
            <w:tcW w:w="6662" w:type="dxa"/>
            <w:gridSpan w:val="2"/>
            <w:tcBorders>
              <w:top w:val="single" w:color="auto" w:sz="4" w:space="0"/>
            </w:tcBorders>
            <w:vAlign w:val="center"/>
          </w:tcPr>
          <w:p w14:paraId="7272CE81">
            <w:pPr>
              <w:widowControl/>
              <w:jc w:val="left"/>
              <w:textAlignment w:val="center"/>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lang w:bidi="ar"/>
              </w:rPr>
              <w:t xml:space="preserve">广东恒健投资控股有限公司 北京中军资管 深圳中天汇富基金 浙江沃金资管  银河证券 安徽美通私募基金  荷荷(北京)私募基金  山东金仕达资管  上海益和源资管  杭州深沃投资管理 南京睿澜私募基金 上海非马资管 华福证券 广东冠达泰泽私募基金  上海漫奇基金  麻王集团  广州云禧私募  厦门市乾行资管  大湾区发展基金 深圳量度资本资管  鸿运私募基金 广州市罗爵资管  中银国际 上海朴信资管 上海甬兴证券资管 上海嘉世私募基金  华泰证券  北京泽铭投资有限公司 宁波莲盛资管 国信证券 西安江岳私募基金 平安银行股份  中金证券  招商证券 宁波梅山保税港区麦唯投资IGWT-INVESTMENT 深圳市鲲鹏恒隆投资  西安瀑布资管  深圳前海汇杰达理资本  凯联投资基金  深圳前海君安资管 深圳尚城资管  张家港高竹私募基金  红华资本管理(深圳）公司  长信基金 海南鑫焱创业投资有限公司 兴业期货 国金基金  招银理财  磐厚动量(上海)资管  誉辉资管（北京）  招商证券 长城财富保险资产管理股份有限公司 诺安基金 博时基金  大家资产 西藏青骊资管  阳光资产 中信建投 光大证券  太平基金 上海康橙资管 建信理财 深圳前海百创资管  财达证券 平安基金 富安达基金  东吴人寿保险 上海名禹资管 西南证券 渝富集团 </w:t>
            </w:r>
            <w:r>
              <w:rPr>
                <w:rFonts w:hint="eastAsia" w:ascii="宋体" w:hAnsi="宋体" w:eastAsia="宋体" w:cs="宋体"/>
                <w:color w:val="auto"/>
                <w:kern w:val="0"/>
                <w:sz w:val="28"/>
                <w:szCs w:val="28"/>
                <w:highlight w:val="none"/>
                <w:lang w:val="en-US" w:eastAsia="zh-CN" w:bidi="ar"/>
              </w:rPr>
              <w:t xml:space="preserve">川发展基金 安联投资 </w:t>
            </w:r>
            <w:r>
              <w:rPr>
                <w:rFonts w:hint="eastAsia" w:ascii="宋体" w:hAnsi="宋体" w:eastAsia="宋体" w:cs="宋体"/>
                <w:color w:val="auto"/>
                <w:kern w:val="0"/>
                <w:sz w:val="28"/>
                <w:szCs w:val="28"/>
                <w:highlight w:val="none"/>
                <w:lang w:bidi="ar"/>
              </w:rPr>
              <w:t>重庆徐图科技有限公司 深圳蓝宝石私募基金 知运投资（海南）有限公司 国投证券重庆分公司 九腾资产 重报上游财经  重庆天医物丰科技有限公司 北京天合昆泰资管  广州德权资管 光大证券重庆分公司  平安证券</w:t>
            </w:r>
          </w:p>
        </w:tc>
      </w:tr>
      <w:tr w14:paraId="71D51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792" w:type="dxa"/>
          </w:tcPr>
          <w:p w14:paraId="5F3716AF">
            <w:pPr>
              <w:spacing w:line="360" w:lineRule="auto"/>
              <w:jc w:val="left"/>
              <w:rPr>
                <w:rFonts w:hint="eastAsia" w:ascii="仿宋" w:hAnsi="仿宋" w:eastAsia="仿宋" w:cs="仿宋"/>
                <w:b/>
                <w:bCs/>
                <w:color w:val="auto"/>
                <w:spacing w:val="-2"/>
                <w:sz w:val="28"/>
                <w:szCs w:val="28"/>
                <w:highlight w:val="none"/>
              </w:rPr>
            </w:pPr>
            <w:r>
              <w:rPr>
                <w:rFonts w:hint="eastAsia" w:ascii="仿宋" w:hAnsi="仿宋" w:eastAsia="仿宋" w:cs="仿宋"/>
                <w:b/>
                <w:bCs/>
                <w:color w:val="auto"/>
                <w:spacing w:val="-2"/>
                <w:sz w:val="28"/>
                <w:szCs w:val="28"/>
                <w:highlight w:val="none"/>
              </w:rPr>
              <w:t>调研时间</w:t>
            </w:r>
          </w:p>
        </w:tc>
        <w:tc>
          <w:tcPr>
            <w:tcW w:w="6662" w:type="dxa"/>
            <w:gridSpan w:val="2"/>
          </w:tcPr>
          <w:p w14:paraId="16E2B030">
            <w:pPr>
              <w:spacing w:line="360" w:lineRule="auto"/>
              <w:rPr>
                <w:rFonts w:hint="eastAsia" w:ascii="仿宋" w:hAnsi="仿宋" w:eastAsia="仿宋" w:cs="仿宋"/>
                <w:color w:val="auto"/>
                <w:spacing w:val="-2"/>
                <w:sz w:val="28"/>
                <w:szCs w:val="28"/>
                <w:highlight w:val="none"/>
              </w:rPr>
            </w:pPr>
            <w:r>
              <w:rPr>
                <w:rFonts w:hint="eastAsia" w:ascii="仿宋" w:hAnsi="仿宋" w:eastAsia="仿宋" w:cs="仿宋"/>
                <w:color w:val="auto"/>
                <w:spacing w:val="-2"/>
                <w:sz w:val="28"/>
                <w:szCs w:val="28"/>
                <w:highlight w:val="none"/>
              </w:rPr>
              <w:t>2026年4月10日-2026年4月28日</w:t>
            </w:r>
          </w:p>
        </w:tc>
      </w:tr>
      <w:tr w14:paraId="09601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1792" w:type="dxa"/>
          </w:tcPr>
          <w:p w14:paraId="161DAE1B">
            <w:pPr>
              <w:spacing w:line="360" w:lineRule="auto"/>
              <w:jc w:val="left"/>
              <w:rPr>
                <w:rFonts w:hint="eastAsia" w:ascii="仿宋" w:hAnsi="仿宋" w:eastAsia="仿宋" w:cs="仿宋"/>
                <w:b/>
                <w:bCs/>
                <w:color w:val="auto"/>
                <w:spacing w:val="-2"/>
                <w:sz w:val="28"/>
                <w:szCs w:val="28"/>
                <w:highlight w:val="none"/>
              </w:rPr>
            </w:pPr>
            <w:r>
              <w:rPr>
                <w:rFonts w:hint="eastAsia" w:ascii="仿宋" w:hAnsi="仿宋" w:eastAsia="仿宋" w:cs="仿宋"/>
                <w:b/>
                <w:bCs/>
                <w:color w:val="auto"/>
                <w:spacing w:val="-2"/>
                <w:sz w:val="28"/>
                <w:szCs w:val="28"/>
                <w:highlight w:val="none"/>
              </w:rPr>
              <w:t>调研地点</w:t>
            </w:r>
          </w:p>
        </w:tc>
        <w:tc>
          <w:tcPr>
            <w:tcW w:w="6662" w:type="dxa"/>
            <w:gridSpan w:val="2"/>
          </w:tcPr>
          <w:p w14:paraId="46D14C76">
            <w:pPr>
              <w:spacing w:line="360" w:lineRule="auto"/>
              <w:rPr>
                <w:rFonts w:hint="eastAsia" w:ascii="仿宋" w:hAnsi="仿宋" w:eastAsia="仿宋" w:cs="仿宋"/>
                <w:color w:val="auto"/>
                <w:spacing w:val="-2"/>
                <w:sz w:val="28"/>
                <w:szCs w:val="28"/>
                <w:highlight w:val="none"/>
              </w:rPr>
            </w:pPr>
            <w:r>
              <w:rPr>
                <w:rFonts w:hint="eastAsia" w:ascii="仿宋" w:hAnsi="仿宋" w:eastAsia="仿宋" w:cs="仿宋"/>
                <w:color w:val="auto"/>
                <w:spacing w:val="-2"/>
                <w:sz w:val="28"/>
                <w:szCs w:val="28"/>
                <w:highlight w:val="none"/>
              </w:rPr>
              <w:t>线上、长寿、江北嘴</w:t>
            </w:r>
          </w:p>
        </w:tc>
      </w:tr>
      <w:tr w14:paraId="3DEB9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jc w:val="center"/>
        </w:trPr>
        <w:tc>
          <w:tcPr>
            <w:tcW w:w="1792" w:type="dxa"/>
          </w:tcPr>
          <w:p w14:paraId="1656C3B4">
            <w:pPr>
              <w:spacing w:line="360" w:lineRule="auto"/>
              <w:jc w:val="left"/>
              <w:rPr>
                <w:b/>
                <w:bCs/>
                <w:color w:val="auto"/>
                <w:sz w:val="24"/>
                <w:szCs w:val="32"/>
                <w:highlight w:val="none"/>
              </w:rPr>
            </w:pPr>
            <w:r>
              <w:rPr>
                <w:rFonts w:hint="eastAsia" w:ascii="仿宋" w:hAnsi="仿宋" w:eastAsia="仿宋" w:cs="仿宋"/>
                <w:b/>
                <w:bCs/>
                <w:color w:val="auto"/>
                <w:spacing w:val="-2"/>
                <w:sz w:val="28"/>
                <w:szCs w:val="28"/>
                <w:highlight w:val="none"/>
              </w:rPr>
              <w:t>上市公司接待人员</w:t>
            </w:r>
          </w:p>
        </w:tc>
        <w:tc>
          <w:tcPr>
            <w:tcW w:w="6662" w:type="dxa"/>
            <w:gridSpan w:val="2"/>
          </w:tcPr>
          <w:p w14:paraId="76E81F2F">
            <w:pPr>
              <w:spacing w:line="360" w:lineRule="auto"/>
              <w:jc w:val="left"/>
              <w:rPr>
                <w:rFonts w:hint="eastAsia" w:ascii="仿宋" w:hAnsi="仿宋" w:eastAsia="仿宋" w:cs="仿宋"/>
                <w:color w:val="auto"/>
                <w:spacing w:val="-2"/>
                <w:sz w:val="28"/>
                <w:szCs w:val="28"/>
                <w:highlight w:val="none"/>
              </w:rPr>
            </w:pPr>
            <w:r>
              <w:rPr>
                <w:rFonts w:hint="eastAsia" w:ascii="仿宋" w:hAnsi="仿宋" w:eastAsia="仿宋" w:cs="仿宋"/>
                <w:color w:val="auto"/>
                <w:spacing w:val="-2"/>
                <w:sz w:val="28"/>
                <w:szCs w:val="28"/>
                <w:highlight w:val="none"/>
              </w:rPr>
              <w:t>董秘、证券部相关人员</w:t>
            </w:r>
          </w:p>
        </w:tc>
      </w:tr>
      <w:tr w14:paraId="51ECD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92" w:type="dxa"/>
          </w:tcPr>
          <w:p w14:paraId="70C8D520">
            <w:pPr>
              <w:spacing w:line="360" w:lineRule="auto"/>
              <w:jc w:val="left"/>
              <w:rPr>
                <w:rFonts w:hint="eastAsia" w:ascii="仿宋" w:hAnsi="仿宋" w:eastAsia="仿宋" w:cs="仿宋"/>
                <w:color w:val="auto"/>
                <w:sz w:val="28"/>
                <w:szCs w:val="28"/>
                <w:highlight w:val="none"/>
              </w:rPr>
            </w:pPr>
            <w:r>
              <w:rPr>
                <w:rFonts w:hint="eastAsia" w:ascii="仿宋" w:hAnsi="仿宋" w:eastAsia="仿宋" w:cs="仿宋"/>
                <w:b/>
                <w:bCs/>
                <w:color w:val="auto"/>
                <w:spacing w:val="-2"/>
                <w:sz w:val="28"/>
                <w:szCs w:val="28"/>
                <w:highlight w:val="none"/>
              </w:rPr>
              <w:t>投资者关系活动主要内容</w:t>
            </w:r>
          </w:p>
        </w:tc>
        <w:tc>
          <w:tcPr>
            <w:tcW w:w="6662" w:type="dxa"/>
            <w:gridSpan w:val="2"/>
          </w:tcPr>
          <w:p w14:paraId="20FB8335">
            <w:pPr>
              <w:jc w:val="left"/>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1、</w:t>
            </w:r>
            <w:bookmarkStart w:id="0" w:name="OLE_LINK2"/>
            <w:r>
              <w:rPr>
                <w:rFonts w:hint="eastAsia" w:ascii="仿宋" w:hAnsi="仿宋" w:eastAsia="仿宋" w:cs="仿宋"/>
                <w:b/>
                <w:bCs/>
                <w:color w:val="auto"/>
                <w:sz w:val="28"/>
                <w:szCs w:val="28"/>
                <w:highlight w:val="none"/>
              </w:rPr>
              <w:t>2026年</w:t>
            </w:r>
            <w:bookmarkEnd w:id="0"/>
            <w:r>
              <w:rPr>
                <w:rFonts w:hint="eastAsia" w:ascii="仿宋" w:hAnsi="仿宋" w:eastAsia="仿宋" w:cs="仿宋"/>
                <w:b/>
                <w:bCs/>
                <w:color w:val="auto"/>
                <w:sz w:val="28"/>
                <w:szCs w:val="28"/>
                <w:highlight w:val="none"/>
              </w:rPr>
              <w:t>第一季度公司主营业务经营情况？</w:t>
            </w:r>
            <w:r>
              <w:rPr>
                <w:rFonts w:hint="eastAsia" w:ascii="仿宋" w:hAnsi="仿宋" w:eastAsia="仿宋" w:cs="仿宋"/>
                <w:color w:val="auto"/>
                <w:sz w:val="28"/>
                <w:szCs w:val="28"/>
                <w:highlight w:val="none"/>
              </w:rPr>
              <w:br w:type="textWrapping"/>
            </w:r>
            <w:r>
              <w:rPr>
                <w:rFonts w:hint="eastAsia" w:ascii="仿宋" w:hAnsi="仿宋" w:eastAsia="仿宋" w:cs="仿宋"/>
                <w:color w:val="auto"/>
                <w:sz w:val="28"/>
                <w:szCs w:val="28"/>
                <w:highlight w:val="none"/>
              </w:rPr>
              <w:t>答：2026年第一季度，公司输配电及控制设备业务总体呈稳定略有上升态势；取向硅钢业务在2025年三季度末出现价格下滑，截止2026年第一季度未有大幅度改善，预计对公司利润有一定影响，公司八万吨高端磁性新材料项目高牌号产出占比的提升一定程度上缓解了部分利润压力。具体数据以公告为准。</w:t>
            </w:r>
            <w:bookmarkStart w:id="3" w:name="_GoBack"/>
            <w:bookmarkEnd w:id="3"/>
            <w:r>
              <w:rPr>
                <w:rFonts w:hint="eastAsia" w:ascii="仿宋" w:hAnsi="仿宋" w:eastAsia="仿宋" w:cs="仿宋"/>
                <w:color w:val="auto"/>
                <w:sz w:val="28"/>
                <w:szCs w:val="28"/>
                <w:highlight w:val="none"/>
              </w:rPr>
              <w:br w:type="textWrapping"/>
            </w:r>
            <w:r>
              <w:rPr>
                <w:rFonts w:hint="eastAsia" w:ascii="仿宋" w:hAnsi="仿宋" w:eastAsia="仿宋" w:cs="仿宋"/>
                <w:b/>
                <w:bCs/>
                <w:color w:val="auto"/>
                <w:sz w:val="28"/>
                <w:szCs w:val="28"/>
                <w:highlight w:val="none"/>
              </w:rPr>
              <w:t>2、请问公司</w:t>
            </w:r>
            <w:r>
              <w:rPr>
                <w:rFonts w:hint="eastAsia" w:ascii="仿宋" w:hAnsi="仿宋" w:eastAsia="仿宋" w:cs="仿宋"/>
                <w:b/>
                <w:bCs/>
                <w:color w:val="auto"/>
                <w:sz w:val="28"/>
                <w:szCs w:val="28"/>
                <w:highlight w:val="none"/>
                <w:lang w:val="en-US" w:eastAsia="zh-CN"/>
              </w:rPr>
              <w:t>近期</w:t>
            </w:r>
            <w:r>
              <w:rPr>
                <w:rFonts w:hint="eastAsia" w:ascii="仿宋" w:hAnsi="仿宋" w:eastAsia="仿宋" w:cs="仿宋"/>
                <w:b/>
                <w:bCs/>
                <w:color w:val="auto"/>
                <w:sz w:val="28"/>
                <w:szCs w:val="28"/>
                <w:highlight w:val="none"/>
              </w:rPr>
              <w:t>海外业务的营收占比及同比增速具体是多少？海外订单的毛利率水平与国内业务相比是否更高，汇率波动对海外业务盈利的影响有多大？</w:t>
            </w:r>
          </w:p>
          <w:p w14:paraId="42428B21">
            <w:pPr>
              <w:jc w:val="left"/>
              <w:rPr>
                <w:rFonts w:hint="eastAsia" w:ascii="仿宋" w:hAnsi="仿宋" w:eastAsia="仿宋" w:cs="仿宋"/>
                <w:b/>
                <w:bCs/>
                <w:color w:val="auto"/>
                <w:sz w:val="28"/>
                <w:szCs w:val="28"/>
              </w:rPr>
            </w:pPr>
            <w:r>
              <w:rPr>
                <w:rFonts w:hint="eastAsia" w:ascii="仿宋" w:hAnsi="仿宋" w:eastAsia="仿宋" w:cs="仿宋"/>
                <w:color w:val="auto"/>
                <w:sz w:val="28"/>
                <w:szCs w:val="28"/>
              </w:rPr>
              <w:t>答：</w:t>
            </w:r>
            <w:r>
              <w:rPr>
                <w:rFonts w:hint="eastAsia" w:ascii="仿宋" w:hAnsi="仿宋" w:eastAsia="仿宋" w:cs="仿宋"/>
                <w:color w:val="auto"/>
                <w:sz w:val="28"/>
                <w:szCs w:val="28"/>
                <w:highlight w:val="none"/>
              </w:rPr>
              <w:t>近期，公司取向硅钢业务</w:t>
            </w:r>
            <w:r>
              <w:rPr>
                <w:rFonts w:hint="eastAsia" w:ascii="仿宋" w:hAnsi="仿宋" w:eastAsia="仿宋" w:cs="仿宋"/>
                <w:color w:val="auto"/>
                <w:sz w:val="28"/>
                <w:szCs w:val="28"/>
                <w:highlight w:val="none"/>
                <w:lang w:val="en-US" w:eastAsia="zh-CN"/>
              </w:rPr>
              <w:t>海外</w:t>
            </w:r>
            <w:r>
              <w:rPr>
                <w:rFonts w:hint="eastAsia" w:ascii="仿宋" w:hAnsi="仿宋" w:eastAsia="仿宋" w:cs="仿宋"/>
                <w:color w:val="auto"/>
                <w:sz w:val="28"/>
                <w:szCs w:val="28"/>
                <w:highlight w:val="none"/>
              </w:rPr>
              <w:t>订单较同期有增长</w:t>
            </w:r>
            <w:r>
              <w:rPr>
                <w:rFonts w:hint="eastAsia" w:ascii="仿宋" w:hAnsi="仿宋" w:eastAsia="仿宋" w:cs="仿宋"/>
                <w:color w:val="auto"/>
                <w:sz w:val="28"/>
                <w:szCs w:val="28"/>
              </w:rPr>
              <w:t>，变压器出口订单同比有较大增幅。根据发展规划，未来三年公司将重点提升海外业务占比。关于汇率风险，公司实时关注汇率变化情况，会结合公司资金需求、外汇需求、汇率趋势等多重因素决定外汇管理；同时公司有外汇套期保值手段可以运用。</w:t>
            </w:r>
            <w:r>
              <w:rPr>
                <w:rFonts w:hint="eastAsia" w:ascii="仿宋" w:hAnsi="仿宋" w:eastAsia="仿宋" w:cs="仿宋"/>
                <w:color w:val="auto"/>
                <w:sz w:val="28"/>
                <w:szCs w:val="28"/>
              </w:rPr>
              <w:br w:type="textWrapping"/>
            </w:r>
            <w:r>
              <w:rPr>
                <w:rFonts w:hint="eastAsia" w:ascii="仿宋" w:hAnsi="仿宋" w:eastAsia="仿宋" w:cs="仿宋"/>
                <w:b/>
                <w:bCs/>
                <w:color w:val="auto"/>
                <w:sz w:val="28"/>
                <w:szCs w:val="28"/>
              </w:rPr>
              <w:t>3、近期针对变压器板块海外热潮，公司的取向硅钢业务海外订单是否有暴涨体现？</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答：公司取向硅钢出口受海外价格、运费、政策等综合因素影响较多，公司实时调整出口策略。近期，公司取向硅钢业务</w:t>
            </w:r>
            <w:r>
              <w:rPr>
                <w:rFonts w:hint="eastAsia" w:ascii="仿宋" w:hAnsi="仿宋" w:eastAsia="仿宋" w:cs="仿宋"/>
                <w:color w:val="auto"/>
                <w:sz w:val="28"/>
                <w:szCs w:val="28"/>
                <w:lang w:val="en-US" w:eastAsia="zh-CN"/>
              </w:rPr>
              <w:t>海外</w:t>
            </w:r>
            <w:r>
              <w:rPr>
                <w:rFonts w:hint="eastAsia" w:ascii="仿宋" w:hAnsi="仿宋" w:eastAsia="仿宋" w:cs="仿宋"/>
                <w:color w:val="auto"/>
                <w:sz w:val="28"/>
                <w:szCs w:val="28"/>
              </w:rPr>
              <w:t>订单较同期有增长，后期需要持续关注海外价格和需求。</w:t>
            </w:r>
            <w:r>
              <w:rPr>
                <w:rFonts w:hint="eastAsia" w:ascii="仿宋" w:hAnsi="仿宋" w:eastAsia="仿宋" w:cs="仿宋"/>
                <w:color w:val="auto"/>
                <w:sz w:val="28"/>
                <w:szCs w:val="28"/>
              </w:rPr>
              <w:br w:type="textWrapping"/>
            </w:r>
            <w:r>
              <w:rPr>
                <w:rFonts w:hint="eastAsia" w:ascii="仿宋" w:hAnsi="仿宋" w:eastAsia="仿宋" w:cs="仿宋"/>
                <w:b/>
                <w:bCs/>
                <w:color w:val="auto"/>
                <w:sz w:val="28"/>
                <w:szCs w:val="28"/>
              </w:rPr>
              <w:t>4、公司输配电及控制设备业务是否有海外新订单？2026年变压器出口订单预期是多少？</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答：公司产品订单运用区域已经覆盖南美洲、美国德克萨斯州、阿曼等地，以上订单参与项目均为数据中心项目。基于以前东南亚、中东、南亚的市场基础，</w:t>
            </w:r>
            <w:r>
              <w:rPr>
                <w:rFonts w:hint="eastAsia" w:ascii="仿宋" w:hAnsi="仿宋" w:eastAsia="仿宋" w:cs="仿宋"/>
                <w:b w:val="0"/>
                <w:bCs w:val="0"/>
                <w:color w:val="auto"/>
                <w:sz w:val="28"/>
                <w:szCs w:val="28"/>
                <w:highlight w:val="none"/>
              </w:rPr>
              <w:t>以及现有欧洲市场的突破，结合第一季度新增及原有订单</w:t>
            </w:r>
            <w:r>
              <w:rPr>
                <w:rFonts w:hint="eastAsia" w:ascii="仿宋" w:hAnsi="仿宋" w:eastAsia="仿宋" w:cs="仿宋"/>
                <w:b w:val="0"/>
                <w:bCs w:val="0"/>
                <w:color w:val="auto"/>
                <w:sz w:val="28"/>
                <w:szCs w:val="28"/>
                <w:highlight w:val="none"/>
                <w:lang w:val="en-US" w:eastAsia="zh-CN"/>
              </w:rPr>
              <w:t>的</w:t>
            </w:r>
            <w:r>
              <w:rPr>
                <w:rFonts w:hint="eastAsia" w:ascii="仿宋" w:hAnsi="仿宋" w:eastAsia="仿宋" w:cs="仿宋"/>
                <w:b w:val="0"/>
                <w:bCs w:val="0"/>
                <w:color w:val="auto"/>
                <w:sz w:val="28"/>
                <w:szCs w:val="28"/>
                <w:highlight w:val="none"/>
              </w:rPr>
              <w:t>可持续性</w:t>
            </w:r>
            <w:r>
              <w:rPr>
                <w:rFonts w:hint="eastAsia" w:ascii="仿宋" w:hAnsi="仿宋" w:eastAsia="仿宋" w:cs="仿宋"/>
                <w:color w:val="auto"/>
                <w:sz w:val="28"/>
                <w:szCs w:val="28"/>
              </w:rPr>
              <w:t>，公司输配电及控制设备出口业绩有一定业绩想象空间，公司会持续积极拓展国际市场，后期将持续关注海外优质项目。</w:t>
            </w:r>
            <w:r>
              <w:rPr>
                <w:rFonts w:hint="eastAsia" w:ascii="仿宋" w:hAnsi="仿宋" w:eastAsia="仿宋" w:cs="仿宋"/>
                <w:color w:val="auto"/>
                <w:sz w:val="28"/>
                <w:szCs w:val="28"/>
              </w:rPr>
              <w:br w:type="textWrapping"/>
            </w:r>
            <w:r>
              <w:rPr>
                <w:rFonts w:hint="eastAsia" w:ascii="仿宋" w:hAnsi="仿宋" w:eastAsia="仿宋" w:cs="仿宋"/>
                <w:b/>
                <w:bCs/>
                <w:color w:val="auto"/>
                <w:sz w:val="28"/>
                <w:szCs w:val="28"/>
              </w:rPr>
              <w:t>5、公司对于拓展海外市场，是否有一些更具体的规划或者方案？是否有在海外建设工厂的规划？</w:t>
            </w:r>
          </w:p>
          <w:p w14:paraId="393B05ED">
            <w:pPr>
              <w:numPr>
                <w:ilvl w:val="-1"/>
                <w:numId w:val="0"/>
              </w:numPr>
              <w:jc w:val="left"/>
              <w:rPr>
                <w:rFonts w:hint="eastAsia" w:ascii="仿宋" w:hAnsi="仿宋" w:eastAsia="仿宋" w:cs="仿宋"/>
                <w:color w:val="auto"/>
                <w:sz w:val="28"/>
                <w:szCs w:val="28"/>
              </w:rPr>
            </w:pPr>
            <w:r>
              <w:rPr>
                <w:rFonts w:hint="eastAsia" w:ascii="仿宋" w:hAnsi="仿宋" w:eastAsia="仿宋" w:cs="仿宋"/>
                <w:color w:val="auto"/>
                <w:sz w:val="28"/>
                <w:szCs w:val="28"/>
              </w:rPr>
              <w:t>答：根据公司“未来三年重点提升海外业务占比”的战略规划，2026年将海外业务作为重点突破方向。输配电设备领域，将深度参与“一带一路沿线国家电力基础设施建设，依托央企海外项目实现设备出口与工程服务协同出海。在东南亚市场将努力把握区域基建拉动电气设备需求的机遇，扩大变压器、成套设备市场份额；在中东市场持续跟进数据中心项目，拓展高端市场应用；在欧美市场依托取向硅钢产品既有客户基础，深化与国际知名企业合作，提升高端材料出口比例。重大投资战略请以公告为准。</w:t>
            </w:r>
          </w:p>
          <w:p w14:paraId="6969C213">
            <w:pPr>
              <w:numPr>
                <w:ilvl w:val="-1"/>
                <w:numId w:val="0"/>
              </w:numPr>
              <w:jc w:val="left"/>
              <w:rPr>
                <w:rFonts w:hint="default" w:ascii="仿宋" w:hAnsi="仿宋" w:eastAsia="仿宋" w:cs="仿宋"/>
                <w:color w:val="auto"/>
                <w:sz w:val="28"/>
                <w:szCs w:val="28"/>
                <w:highlight w:val="none"/>
                <w:lang w:val="en-US"/>
              </w:rPr>
            </w:pPr>
            <w:r>
              <w:rPr>
                <w:rFonts w:hint="eastAsia" w:ascii="仿宋" w:hAnsi="仿宋" w:eastAsia="仿宋" w:cs="仿宋"/>
                <w:b/>
                <w:bCs/>
                <w:color w:val="auto"/>
                <w:sz w:val="28"/>
                <w:szCs w:val="28"/>
                <w:lang w:val="en-US" w:eastAsia="zh-CN"/>
              </w:rPr>
              <w:t>6、</w:t>
            </w:r>
            <w:r>
              <w:rPr>
                <w:rFonts w:hint="eastAsia" w:ascii="仿宋" w:hAnsi="仿宋" w:eastAsia="仿宋" w:cs="仿宋"/>
                <w:b/>
                <w:bCs/>
                <w:color w:val="auto"/>
                <w:sz w:val="28"/>
                <w:szCs w:val="28"/>
              </w:rPr>
              <w:t>现目前八万吨高端磁性新材料项目的产出情况？目前，高牌号取向硅钢净利润大概是多少个点?</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答：八万吨高端磁性新材料项目已于2024年6月全线投产。截至目前项目生产稳定，满产满销，现目前080</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rPr>
              <w:t>095为主流</w:t>
            </w:r>
            <w:r>
              <w:rPr>
                <w:rFonts w:hint="eastAsia" w:ascii="仿宋" w:hAnsi="仿宋" w:eastAsia="仿宋" w:cs="仿宋"/>
                <w:color w:val="auto"/>
                <w:sz w:val="28"/>
                <w:szCs w:val="28"/>
                <w:lang w:val="en-US" w:eastAsia="zh-CN"/>
              </w:rPr>
              <w:t>产出</w:t>
            </w:r>
            <w:r>
              <w:rPr>
                <w:rFonts w:hint="eastAsia" w:ascii="仿宋" w:hAnsi="仿宋" w:eastAsia="仿宋" w:cs="仿宋"/>
                <w:color w:val="auto"/>
                <w:sz w:val="28"/>
                <w:szCs w:val="28"/>
              </w:rPr>
              <w:t>牌号</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highlight w:val="none"/>
                <w:lang w:val="en-US" w:eastAsia="zh-CN"/>
              </w:rPr>
              <w:t>具体产品盈利能力以实际产出和实时出货价格而定。</w:t>
            </w:r>
            <w:bookmarkStart w:id="1" w:name="OLE_LINK4"/>
          </w:p>
          <w:p w14:paraId="47E5E723">
            <w:pPr>
              <w:numPr>
                <w:ilvl w:val="-1"/>
                <w:numId w:val="0"/>
              </w:numPr>
              <w:jc w:val="left"/>
              <w:rPr>
                <w:rFonts w:hint="eastAsia" w:ascii="仿宋" w:hAnsi="仿宋" w:eastAsia="仿宋" w:cs="仿宋"/>
                <w:color w:val="auto"/>
                <w:sz w:val="28"/>
                <w:szCs w:val="28"/>
              </w:rPr>
            </w:pPr>
            <w:r>
              <w:rPr>
                <w:rFonts w:hint="eastAsia" w:ascii="仿宋" w:hAnsi="仿宋" w:eastAsia="仿宋" w:cs="仿宋"/>
                <w:b/>
                <w:bCs/>
                <w:color w:val="auto"/>
                <w:sz w:val="28"/>
                <w:szCs w:val="28"/>
                <w:lang w:val="en-US" w:eastAsia="zh-CN"/>
              </w:rPr>
              <w:t>7、</w:t>
            </w:r>
            <w:r>
              <w:rPr>
                <w:rFonts w:hint="eastAsia" w:ascii="仿宋" w:hAnsi="仿宋" w:eastAsia="仿宋" w:cs="仿宋"/>
                <w:b/>
                <w:bCs/>
                <w:color w:val="auto"/>
                <w:sz w:val="28"/>
                <w:szCs w:val="28"/>
              </w:rPr>
              <w:t>公司原有的CGO生产产线</w:t>
            </w:r>
            <w:bookmarkEnd w:id="1"/>
            <w:r>
              <w:rPr>
                <w:rFonts w:hint="eastAsia" w:ascii="仿宋" w:hAnsi="仿宋" w:eastAsia="仿宋" w:cs="仿宋"/>
                <w:b/>
                <w:bCs/>
                <w:color w:val="auto"/>
                <w:sz w:val="28"/>
                <w:szCs w:val="28"/>
              </w:rPr>
              <w:t>是否有改造计划？</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答：公司将综合取向硅钢全球产能布局同时结合公司自身的财务规划综合评估技改计划和启动时机；公司重大投资请以公告为准。</w:t>
            </w:r>
          </w:p>
          <w:p w14:paraId="674EC285">
            <w:pPr>
              <w:jc w:val="left"/>
              <w:rPr>
                <w:rFonts w:hint="eastAsia" w:ascii="仿宋" w:hAnsi="仿宋" w:eastAsia="仿宋" w:cs="仿宋"/>
                <w:b/>
                <w:bCs/>
                <w:color w:val="auto"/>
                <w:sz w:val="28"/>
                <w:szCs w:val="28"/>
              </w:rPr>
            </w:pPr>
            <w:r>
              <w:rPr>
                <w:rFonts w:hint="eastAsia" w:ascii="仿宋" w:hAnsi="仿宋" w:eastAsia="仿宋" w:cs="仿宋"/>
                <w:b/>
                <w:bCs/>
                <w:color w:val="auto"/>
                <w:sz w:val="28"/>
                <w:szCs w:val="28"/>
              </w:rPr>
              <w:t>8、2026年取向硅钢的价格展望？</w:t>
            </w:r>
          </w:p>
          <w:p w14:paraId="32D8C497">
            <w:pPr>
              <w:jc w:val="left"/>
              <w:rPr>
                <w:rFonts w:hint="eastAsia" w:ascii="仿宋" w:hAnsi="仿宋" w:eastAsia="仿宋" w:cs="仿宋"/>
                <w:color w:val="auto"/>
                <w:sz w:val="28"/>
                <w:szCs w:val="28"/>
              </w:rPr>
            </w:pPr>
            <w:r>
              <w:rPr>
                <w:rFonts w:hint="eastAsia" w:ascii="仿宋" w:hAnsi="仿宋" w:eastAsia="仿宋" w:cs="仿宋"/>
                <w:color w:val="auto"/>
                <w:sz w:val="28"/>
                <w:szCs w:val="28"/>
              </w:rPr>
              <w:t xml:space="preserve">答： 2025年12月10日宝武宣布取向硅钢从2026年1月10日起基价上调100元/吨，截止目前，取向硅钢价格每月均有上调调整，且延续涨势明显，对市场和公司而言，可所谓战略性拐点，对取向硅钢行业是一个较大的利好。   </w:t>
            </w:r>
          </w:p>
          <w:p w14:paraId="27701D7E">
            <w:pPr>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我们认为在全球电力设备市场热潮、国家十五五在网高损耗电力变压器的大规模升级改造和批量更换、电力变压器能效限定值及能效等级新标准、关于新形势下配电网高质量发展的指导意见以及其他一系列推进“电力装备绿色低碳”的政策基础上，又恰逢能源革命与AI算力风口，进一步拉动了输配电设备的需求，加之市场化产能调整基本结束，预计未来一般取向硅钢的市场需求会继续减少，高磁感取向硅钢需求增加，取向硅钢价格在经历市场调整后将逐步趋向稳定。</w:t>
            </w:r>
          </w:p>
          <w:p w14:paraId="323AE343">
            <w:pPr>
              <w:jc w:val="left"/>
              <w:rPr>
                <w:rFonts w:hint="eastAsia" w:ascii="仿宋" w:hAnsi="仿宋" w:eastAsia="仿宋" w:cs="仿宋"/>
                <w:b/>
                <w:bCs/>
                <w:color w:val="auto"/>
                <w:sz w:val="28"/>
                <w:szCs w:val="28"/>
              </w:rPr>
            </w:pPr>
            <w:r>
              <w:rPr>
                <w:rFonts w:hint="eastAsia" w:ascii="仿宋" w:hAnsi="仿宋" w:eastAsia="仿宋" w:cs="仿宋"/>
                <w:b/>
                <w:bCs/>
                <w:color w:val="auto"/>
                <w:sz w:val="28"/>
                <w:szCs w:val="28"/>
              </w:rPr>
              <w:t>9、据市场反馈预期取向硅钢的原材料会有上涨的趋势，公司如何应对后期的原料上涨风险？</w:t>
            </w:r>
          </w:p>
          <w:p w14:paraId="5280056E">
            <w:pPr>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答：取向硅钢原材料成本</w:t>
            </w:r>
            <w:r>
              <w:rPr>
                <w:rFonts w:hint="eastAsia" w:ascii="仿宋" w:hAnsi="仿宋" w:eastAsia="仿宋" w:cs="仿宋"/>
                <w:color w:val="auto"/>
                <w:sz w:val="28"/>
                <w:szCs w:val="28"/>
                <w:lang w:val="en-US" w:eastAsia="zh-CN"/>
              </w:rPr>
              <w:t>一般情况下可以向下游端传导；同时公司将持续不断降本增效；另一方面公司也不断提升产出的质量和牌号，努力实现效益做大化。</w:t>
            </w:r>
          </w:p>
          <w:p w14:paraId="7A1B7D4A">
            <w:pPr>
              <w:jc w:val="left"/>
              <w:rPr>
                <w:rFonts w:hint="eastAsia" w:ascii="仿宋" w:hAnsi="仿宋" w:eastAsia="仿宋" w:cs="仿宋"/>
                <w:color w:val="auto"/>
                <w:sz w:val="28"/>
                <w:szCs w:val="28"/>
              </w:rPr>
            </w:pPr>
            <w:r>
              <w:rPr>
                <w:rFonts w:hint="eastAsia" w:ascii="仿宋" w:hAnsi="仿宋" w:eastAsia="仿宋" w:cs="仿宋"/>
                <w:b/>
                <w:bCs/>
                <w:color w:val="auto"/>
                <w:sz w:val="28"/>
                <w:szCs w:val="28"/>
              </w:rPr>
              <w:t>10、</w:t>
            </w:r>
            <w:bookmarkStart w:id="2" w:name="OLE_LINK1"/>
            <w:r>
              <w:rPr>
                <w:rFonts w:hint="eastAsia" w:ascii="仿宋" w:hAnsi="仿宋" w:eastAsia="仿宋" w:cs="仿宋"/>
                <w:b/>
                <w:bCs/>
                <w:color w:val="auto"/>
                <w:sz w:val="28"/>
                <w:szCs w:val="28"/>
              </w:rPr>
              <w:t>公司是否研发了固态变压器产品？</w:t>
            </w:r>
          </w:p>
          <w:p w14:paraId="6D9B9F9F">
            <w:pPr>
              <w:jc w:val="left"/>
              <w:rPr>
                <w:rFonts w:hint="eastAsia" w:ascii="仿宋" w:hAnsi="仿宋" w:eastAsia="仿宋" w:cs="仿宋"/>
                <w:color w:val="auto"/>
                <w:sz w:val="28"/>
                <w:szCs w:val="28"/>
              </w:rPr>
            </w:pPr>
            <w:r>
              <w:rPr>
                <w:rFonts w:hint="eastAsia" w:ascii="仿宋" w:hAnsi="仿宋" w:eastAsia="仿宋" w:cs="仿宋"/>
                <w:color w:val="auto"/>
                <w:sz w:val="28"/>
                <w:szCs w:val="28"/>
              </w:rPr>
              <w:t>答：公司高度重视前沿产品的发展情况，有关注到固态变压器的相关市场信息；同时，公司也高度重视相关市场标准制定出台等政策。</w:t>
            </w:r>
            <w:r>
              <w:rPr>
                <w:rFonts w:hint="eastAsia" w:ascii="仿宋" w:hAnsi="仿宋" w:eastAsia="仿宋" w:cs="仿宋"/>
                <w:color w:val="auto"/>
                <w:sz w:val="28"/>
                <w:szCs w:val="28"/>
                <w:lang w:val="en-US" w:eastAsia="zh-CN"/>
              </w:rPr>
              <w:t>目前，公司正在积极开展相关研发工作，</w:t>
            </w:r>
            <w:r>
              <w:rPr>
                <w:rFonts w:hint="eastAsia" w:ascii="仿宋" w:hAnsi="仿宋" w:eastAsia="仿宋" w:cs="仿宋"/>
                <w:color w:val="auto"/>
                <w:sz w:val="28"/>
                <w:szCs w:val="28"/>
              </w:rPr>
              <w:t>具体研发进展请以公告为准。</w:t>
            </w:r>
          </w:p>
          <w:bookmarkEnd w:id="2"/>
          <w:p w14:paraId="32C8D9EA">
            <w:pPr>
              <w:jc w:val="left"/>
              <w:rPr>
                <w:rFonts w:hint="eastAsia" w:ascii="仿宋" w:hAnsi="仿宋" w:eastAsia="仿宋" w:cs="仿宋"/>
                <w:b/>
                <w:bCs/>
                <w:color w:val="auto"/>
                <w:sz w:val="28"/>
                <w:szCs w:val="28"/>
              </w:rPr>
            </w:pPr>
            <w:r>
              <w:rPr>
                <w:rFonts w:hint="eastAsia" w:ascii="仿宋" w:hAnsi="仿宋" w:eastAsia="仿宋" w:cs="仿宋"/>
                <w:b/>
                <w:bCs/>
                <w:color w:val="auto"/>
                <w:sz w:val="28"/>
                <w:szCs w:val="28"/>
                <w:lang w:val="en-US" w:eastAsia="zh-CN"/>
              </w:rPr>
              <w:t>11、</w:t>
            </w:r>
            <w:r>
              <w:rPr>
                <w:rFonts w:hint="eastAsia" w:ascii="仿宋" w:hAnsi="仿宋" w:eastAsia="仿宋" w:cs="仿宋"/>
                <w:b/>
                <w:bCs/>
                <w:color w:val="auto"/>
                <w:sz w:val="28"/>
                <w:szCs w:val="28"/>
              </w:rPr>
              <w:t>海外变压器订单的毛利率与国内相比毛利率差异？未来毛利率是否稳定？</w:t>
            </w:r>
          </w:p>
          <w:p w14:paraId="14660AED">
            <w:pPr>
              <w:jc w:val="left"/>
              <w:rPr>
                <w:rFonts w:hint="eastAsia" w:ascii="仿宋" w:hAnsi="仿宋" w:eastAsia="仿宋" w:cs="仿宋"/>
                <w:b/>
                <w:bCs/>
                <w:color w:val="auto"/>
                <w:sz w:val="28"/>
                <w:szCs w:val="28"/>
              </w:rPr>
            </w:pPr>
            <w:r>
              <w:rPr>
                <w:rFonts w:hint="eastAsia" w:ascii="仿宋" w:hAnsi="仿宋" w:eastAsia="仿宋" w:cs="仿宋"/>
                <w:color w:val="auto"/>
                <w:sz w:val="28"/>
                <w:szCs w:val="28"/>
              </w:rPr>
              <w:t>答：海外变压器毛利率因受地域成本</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运用领域</w:t>
            </w:r>
            <w:r>
              <w:rPr>
                <w:rFonts w:hint="eastAsia" w:ascii="仿宋" w:hAnsi="仿宋" w:eastAsia="仿宋" w:cs="仿宋"/>
                <w:color w:val="auto"/>
                <w:sz w:val="28"/>
                <w:szCs w:val="28"/>
                <w:lang w:val="en-US" w:eastAsia="zh-CN"/>
              </w:rPr>
              <w:t>、电压等级、容量大小等因素存在差异</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与国内毛利率</w:t>
            </w:r>
            <w:r>
              <w:rPr>
                <w:rFonts w:hint="eastAsia" w:ascii="仿宋" w:hAnsi="仿宋" w:eastAsia="仿宋" w:cs="仿宋"/>
                <w:color w:val="auto"/>
                <w:sz w:val="28"/>
                <w:szCs w:val="28"/>
              </w:rPr>
              <w:t>呈现不同是市场有序竞争的正常表现。公司认为未来海外变压器毛利率因海外需求持续增长及能参与海外竞争的企业较少会相对稳定且往上提升。</w:t>
            </w:r>
            <w:r>
              <w:rPr>
                <w:rFonts w:hint="eastAsia" w:ascii="仿宋" w:hAnsi="仿宋" w:eastAsia="仿宋" w:cs="仿宋"/>
                <w:b/>
                <w:bCs/>
                <w:color w:val="auto"/>
                <w:sz w:val="28"/>
                <w:szCs w:val="28"/>
              </w:rPr>
              <w:tab/>
            </w:r>
          </w:p>
          <w:p w14:paraId="711256D8">
            <w:pPr>
              <w:jc w:val="left"/>
              <w:rPr>
                <w:rFonts w:hint="eastAsia" w:ascii="仿宋" w:hAnsi="仿宋" w:eastAsia="仿宋" w:cs="仿宋"/>
                <w:b/>
                <w:bCs/>
                <w:color w:val="auto"/>
                <w:sz w:val="28"/>
                <w:szCs w:val="28"/>
              </w:rPr>
            </w:pPr>
            <w:r>
              <w:rPr>
                <w:rFonts w:hint="eastAsia" w:ascii="仿宋" w:hAnsi="仿宋" w:eastAsia="仿宋" w:cs="仿宋"/>
                <w:b/>
                <w:bCs/>
                <w:color w:val="auto"/>
                <w:sz w:val="28"/>
                <w:szCs w:val="28"/>
              </w:rPr>
              <w:t>12、公司提到十五五期间，重点是高压和出口业务的拓展，请问公司高电压等级的发展规划？</w:t>
            </w:r>
            <w:r>
              <w:rPr>
                <w:rFonts w:hint="eastAsia" w:ascii="仿宋" w:hAnsi="仿宋" w:eastAsia="仿宋" w:cs="仿宋"/>
                <w:color w:val="auto"/>
                <w:sz w:val="28"/>
                <w:szCs w:val="28"/>
              </w:rPr>
              <w:t xml:space="preserve"> </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答：公司在输配电设备的供应可覆盖500kV及以下电压等级范围。公司将持续提升研发能力和加大对前沿产品的研发，强化技术突破、聚焦高电压等级核心设备研发，深化市场渗透，精准对接客户需求，力争在全球高压电力建设中获取批量订单，驱动公司持续增长。</w:t>
            </w:r>
          </w:p>
          <w:p w14:paraId="7DBCDEB8">
            <w:pPr>
              <w:jc w:val="left"/>
              <w:rPr>
                <w:rFonts w:hint="eastAsia" w:ascii="仿宋" w:hAnsi="仿宋" w:eastAsia="仿宋" w:cs="仿宋"/>
                <w:color w:val="auto"/>
                <w:sz w:val="28"/>
                <w:szCs w:val="28"/>
              </w:rPr>
            </w:pPr>
            <w:r>
              <w:rPr>
                <w:rFonts w:hint="eastAsia" w:ascii="仿宋" w:hAnsi="仿宋" w:eastAsia="仿宋" w:cs="仿宋"/>
                <w:b/>
                <w:bCs/>
                <w:color w:val="auto"/>
                <w:sz w:val="28"/>
                <w:szCs w:val="28"/>
              </w:rPr>
              <w:t xml:space="preserve">13、公司220kV订单可见度是多少？ </w:t>
            </w:r>
            <w:r>
              <w:rPr>
                <w:rFonts w:hint="eastAsia" w:ascii="仿宋" w:hAnsi="仿宋" w:eastAsia="仿宋" w:cs="仿宋"/>
                <w:b/>
                <w:bCs/>
                <w:color w:val="auto"/>
                <w:sz w:val="28"/>
                <w:szCs w:val="28"/>
              </w:rPr>
              <w:br w:type="textWrapping"/>
            </w:r>
            <w:r>
              <w:rPr>
                <w:rFonts w:hint="eastAsia" w:ascii="仿宋" w:hAnsi="仿宋" w:eastAsia="仿宋" w:cs="仿宋"/>
                <w:color w:val="auto"/>
                <w:sz w:val="28"/>
                <w:szCs w:val="28"/>
              </w:rPr>
              <w:t>答：公司220kV及以下（35-220千伏kV）变压器订单饱和，储备订单已有6个月。</w:t>
            </w:r>
            <w:r>
              <w:rPr>
                <w:rFonts w:hint="eastAsia" w:ascii="仿宋" w:hAnsi="仿宋" w:eastAsia="仿宋" w:cs="仿宋"/>
                <w:color w:val="auto"/>
                <w:sz w:val="28"/>
                <w:szCs w:val="28"/>
              </w:rPr>
              <w:br w:type="textWrapping"/>
            </w:r>
            <w:r>
              <w:rPr>
                <w:rFonts w:hint="eastAsia" w:ascii="仿宋" w:hAnsi="仿宋" w:eastAsia="仿宋" w:cs="仿宋"/>
                <w:b/>
                <w:bCs/>
                <w:color w:val="auto"/>
                <w:sz w:val="28"/>
                <w:szCs w:val="28"/>
              </w:rPr>
              <w:t>14、云变电气的下游市场是哪些？</w:t>
            </w:r>
          </w:p>
          <w:p w14:paraId="0EDA6B96">
            <w:pPr>
              <w:jc w:val="left"/>
              <w:rPr>
                <w:rFonts w:hint="eastAsia" w:ascii="仿宋" w:hAnsi="仿宋" w:eastAsia="仿宋" w:cs="仿宋"/>
                <w:color w:val="auto"/>
                <w:sz w:val="28"/>
                <w:szCs w:val="28"/>
              </w:rPr>
            </w:pPr>
            <w:r>
              <w:rPr>
                <w:rFonts w:hint="eastAsia" w:ascii="仿宋" w:hAnsi="仿宋" w:eastAsia="仿宋" w:cs="仿宋"/>
                <w:color w:val="auto"/>
                <w:sz w:val="28"/>
                <w:szCs w:val="28"/>
              </w:rPr>
              <w:t>答：</w:t>
            </w:r>
            <w:r>
              <w:rPr>
                <w:rFonts w:hint="eastAsia" w:ascii="仿宋" w:hAnsi="仿宋" w:eastAsia="仿宋" w:cs="仿宋"/>
                <w:color w:val="auto"/>
                <w:sz w:val="28"/>
                <w:szCs w:val="28"/>
                <w:lang w:val="en-US" w:eastAsia="zh-CN"/>
              </w:rPr>
              <w:t>变压器在电力体系的发电、输电、变电和用电全场景可以使用；</w:t>
            </w:r>
            <w:r>
              <w:rPr>
                <w:rFonts w:hint="eastAsia" w:ascii="仿宋" w:hAnsi="仿宋" w:eastAsia="仿宋" w:cs="仿宋"/>
                <w:color w:val="auto"/>
                <w:sz w:val="28"/>
                <w:szCs w:val="28"/>
              </w:rPr>
              <w:t>云变电气的下游市场主要</w:t>
            </w:r>
            <w:r>
              <w:rPr>
                <w:rFonts w:hint="eastAsia" w:ascii="仿宋" w:hAnsi="仿宋" w:eastAsia="仿宋" w:cs="仿宋"/>
                <w:color w:val="auto"/>
                <w:sz w:val="28"/>
                <w:szCs w:val="28"/>
                <w:lang w:val="en-US" w:eastAsia="zh-CN"/>
              </w:rPr>
              <w:t>以</w:t>
            </w:r>
            <w:r>
              <w:rPr>
                <w:rFonts w:hint="eastAsia" w:ascii="仿宋" w:hAnsi="仿宋" w:eastAsia="仿宋" w:cs="仿宋"/>
                <w:color w:val="auto"/>
                <w:sz w:val="28"/>
                <w:szCs w:val="28"/>
              </w:rPr>
              <w:t>铁路、电网、</w:t>
            </w:r>
            <w:r>
              <w:rPr>
                <w:rFonts w:hint="eastAsia" w:ascii="仿宋" w:hAnsi="仿宋" w:eastAsia="仿宋" w:cs="仿宋"/>
                <w:color w:val="auto"/>
                <w:sz w:val="28"/>
                <w:szCs w:val="28"/>
                <w:lang w:val="en-US" w:eastAsia="zh-CN"/>
              </w:rPr>
              <w:t>电建、能建、交建等相关客户承接的项目为主。运用领域涵盖铁路建设、电网建设、</w:t>
            </w:r>
            <w:r>
              <w:rPr>
                <w:rFonts w:hint="eastAsia" w:ascii="仿宋" w:hAnsi="仿宋" w:eastAsia="仿宋" w:cs="仿宋"/>
                <w:color w:val="auto"/>
                <w:sz w:val="28"/>
                <w:szCs w:val="28"/>
              </w:rPr>
              <w:t>新能源</w:t>
            </w:r>
            <w:r>
              <w:rPr>
                <w:rFonts w:hint="eastAsia" w:ascii="仿宋" w:hAnsi="仿宋" w:eastAsia="仿宋" w:cs="仿宋"/>
                <w:color w:val="auto"/>
                <w:sz w:val="28"/>
                <w:szCs w:val="28"/>
                <w:lang w:val="en-US" w:eastAsia="zh-CN"/>
              </w:rPr>
              <w:t>各种运用场景</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各种电站、数据中心、海外各类需求等</w:t>
            </w:r>
            <w:r>
              <w:rPr>
                <w:rFonts w:hint="eastAsia" w:ascii="仿宋" w:hAnsi="仿宋" w:eastAsia="仿宋" w:cs="仿宋"/>
                <w:color w:val="auto"/>
                <w:sz w:val="28"/>
                <w:szCs w:val="28"/>
              </w:rPr>
              <w:t>。</w:t>
            </w:r>
            <w:r>
              <w:rPr>
                <w:rFonts w:hint="eastAsia" w:ascii="仿宋" w:hAnsi="仿宋" w:eastAsia="仿宋" w:cs="仿宋"/>
                <w:color w:val="auto"/>
                <w:sz w:val="28"/>
                <w:szCs w:val="28"/>
              </w:rPr>
              <w:br w:type="textWrapping"/>
            </w:r>
            <w:r>
              <w:rPr>
                <w:rFonts w:hint="eastAsia" w:ascii="仿宋" w:hAnsi="仿宋" w:eastAsia="仿宋" w:cs="仿宋"/>
                <w:b/>
                <w:bCs/>
                <w:color w:val="auto"/>
                <w:sz w:val="28"/>
                <w:szCs w:val="28"/>
              </w:rPr>
              <w:t>15、云变电气的整体业绩发展规划？</w:t>
            </w:r>
            <w:r>
              <w:rPr>
                <w:rFonts w:hint="eastAsia" w:ascii="仿宋" w:hAnsi="仿宋" w:eastAsia="仿宋" w:cs="仿宋"/>
                <w:b/>
                <w:bCs/>
                <w:color w:val="auto"/>
                <w:sz w:val="28"/>
                <w:szCs w:val="28"/>
              </w:rPr>
              <w:br w:type="textWrapping"/>
            </w:r>
            <w:r>
              <w:rPr>
                <w:rFonts w:hint="eastAsia" w:ascii="仿宋" w:hAnsi="仿宋" w:eastAsia="仿宋" w:cs="仿宋"/>
                <w:color w:val="auto"/>
                <w:sz w:val="28"/>
                <w:szCs w:val="28"/>
              </w:rPr>
              <w:t>答：</w:t>
            </w:r>
            <w:r>
              <w:rPr>
                <w:rFonts w:hint="eastAsia" w:ascii="仿宋" w:hAnsi="仿宋" w:eastAsia="仿宋" w:cs="仿宋"/>
                <w:color w:val="auto"/>
                <w:sz w:val="28"/>
                <w:szCs w:val="28"/>
                <w:lang w:val="en-US" w:eastAsia="zh-CN"/>
              </w:rPr>
              <w:t>云变电气目前生产场地具备30亿元生产产值能力；</w:t>
            </w:r>
            <w:r>
              <w:rPr>
                <w:rFonts w:hint="eastAsia" w:ascii="仿宋" w:hAnsi="仿宋" w:eastAsia="仿宋" w:cs="仿宋"/>
                <w:color w:val="auto"/>
                <w:sz w:val="28"/>
                <w:szCs w:val="28"/>
              </w:rPr>
              <w:t>云变电气利用自身的品牌优势、人才优势、专精特新的技术优势已在2024年首次突破10亿收入；云变电气地处“一带一路”关键地理位置，结合公司大力拓展海外市场，云变电气有望实现330kv和500kv的业绩突破，公司业绩有望进一步提升。</w:t>
            </w:r>
          </w:p>
          <w:p w14:paraId="0A5BCF30">
            <w:pPr>
              <w:jc w:val="left"/>
              <w:rPr>
                <w:rFonts w:hint="eastAsia" w:ascii="仿宋" w:hAnsi="仿宋" w:eastAsia="仿宋" w:cs="仿宋"/>
                <w:color w:val="auto"/>
                <w:sz w:val="28"/>
                <w:szCs w:val="28"/>
              </w:rPr>
            </w:pPr>
            <w:r>
              <w:rPr>
                <w:rFonts w:hint="eastAsia" w:ascii="仿宋" w:hAnsi="仿宋" w:eastAsia="仿宋" w:cs="仿宋"/>
                <w:b/>
                <w:bCs/>
                <w:color w:val="auto"/>
                <w:sz w:val="28"/>
                <w:szCs w:val="28"/>
                <w:lang w:val="en-US" w:eastAsia="zh-CN"/>
              </w:rPr>
              <w:t>16、</w:t>
            </w:r>
            <w:r>
              <w:rPr>
                <w:rFonts w:hint="eastAsia" w:ascii="仿宋" w:hAnsi="仿宋" w:eastAsia="仿宋" w:cs="仿宋"/>
                <w:b/>
                <w:bCs/>
                <w:color w:val="auto"/>
                <w:sz w:val="28"/>
                <w:szCs w:val="28"/>
              </w:rPr>
              <w:t>公司的兆瓦级智能超充网络建设项目，目前最新的进展如何？今年预期目标是什么样的？</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答：公司该项目按计划推进中；目前已建成投运7个项目（重庆1个、云南6个），公司正在内蒙、广东、广西、陕西、山西、山东、江西、贵州资源丰富、电动重卡大力发展的省份开发、布局新的站点，</w:t>
            </w:r>
            <w:r>
              <w:rPr>
                <w:rFonts w:hint="eastAsia" w:ascii="仿宋" w:hAnsi="仿宋" w:eastAsia="仿宋" w:cs="仿宋"/>
                <w:color w:val="auto"/>
                <w:sz w:val="28"/>
                <w:szCs w:val="28"/>
                <w:lang w:val="en-US" w:eastAsia="zh-CN"/>
              </w:rPr>
              <w:t>正在开发及拟开发站点</w:t>
            </w:r>
            <w:r>
              <w:rPr>
                <w:rFonts w:hint="eastAsia" w:ascii="仿宋" w:hAnsi="仿宋" w:eastAsia="仿宋" w:cs="仿宋"/>
                <w:color w:val="auto"/>
                <w:sz w:val="28"/>
                <w:szCs w:val="28"/>
              </w:rPr>
              <w:t>近30个。同时，公司</w:t>
            </w:r>
            <w:r>
              <w:rPr>
                <w:rFonts w:hint="eastAsia" w:ascii="仿宋" w:hAnsi="仿宋" w:eastAsia="仿宋" w:cs="仿宋"/>
                <w:color w:val="auto"/>
                <w:sz w:val="28"/>
                <w:szCs w:val="28"/>
                <w:lang w:val="en-US" w:eastAsia="zh-CN"/>
              </w:rPr>
              <w:t>计划在东南亚国家尝试</w:t>
            </w:r>
            <w:r>
              <w:rPr>
                <w:rFonts w:hint="eastAsia" w:ascii="仿宋" w:hAnsi="仿宋" w:eastAsia="仿宋" w:cs="仿宋"/>
                <w:color w:val="auto"/>
                <w:sz w:val="28"/>
                <w:szCs w:val="28"/>
              </w:rPr>
              <w:t>布局重卡充电站</w:t>
            </w:r>
            <w:r>
              <w:rPr>
                <w:rFonts w:hint="eastAsia" w:ascii="仿宋" w:hAnsi="仿宋" w:eastAsia="仿宋" w:cs="仿宋"/>
                <w:color w:val="auto"/>
                <w:sz w:val="28"/>
                <w:szCs w:val="28"/>
                <w:lang w:val="en-US" w:eastAsia="zh-CN"/>
              </w:rPr>
              <w:t>建设和运营</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具体进展以公告为准。</w:t>
            </w:r>
          </w:p>
          <w:p w14:paraId="1A53B96A">
            <w:pPr>
              <w:jc w:val="left"/>
              <w:rPr>
                <w:rFonts w:hint="eastAsia" w:ascii="仿宋" w:hAnsi="仿宋" w:eastAsia="仿宋" w:cs="仿宋"/>
                <w:color w:val="auto"/>
                <w:sz w:val="28"/>
                <w:szCs w:val="28"/>
              </w:rPr>
            </w:pPr>
            <w:r>
              <w:rPr>
                <w:rFonts w:hint="eastAsia" w:ascii="仿宋" w:hAnsi="仿宋" w:eastAsia="仿宋" w:cs="仿宋"/>
                <w:b/>
                <w:bCs/>
                <w:color w:val="auto"/>
                <w:sz w:val="28"/>
                <w:szCs w:val="28"/>
              </w:rPr>
              <w:t>17、大宗期货铜价持续上涨，是否对公司利润有影响？公司是否采取了相应的对冲手段，比如外汇套期保值业务？</w:t>
            </w:r>
          </w:p>
          <w:p w14:paraId="041C521C">
            <w:pPr>
              <w:jc w:val="left"/>
              <w:rPr>
                <w:rFonts w:hint="eastAsia" w:ascii="仿宋" w:hAnsi="仿宋" w:eastAsia="仿宋" w:cs="仿宋"/>
                <w:color w:val="auto"/>
                <w:sz w:val="28"/>
                <w:szCs w:val="28"/>
              </w:rPr>
            </w:pPr>
            <w:r>
              <w:rPr>
                <w:rFonts w:hint="eastAsia" w:ascii="仿宋" w:hAnsi="仿宋" w:eastAsia="仿宋" w:cs="仿宋"/>
                <w:color w:val="auto"/>
                <w:sz w:val="28"/>
                <w:szCs w:val="28"/>
              </w:rPr>
              <w:t>答：铜作为输配电产品的主要原材料，其价格对公司的生产成本是有关键性影响。公司长期与客户保持良好的合作关系，具备一定的议价能力和市场竞争格局，一定程度上保障了部分成本压力转移空间；另外，公司持续提高技术创新，从技术端降本增效；此外，公司会根据市场环境评估，持续通过包括供应商锁价、优化库存等手段以应对原材料价格的剧烈波动。</w:t>
            </w:r>
          </w:p>
          <w:p w14:paraId="468EF451">
            <w:pPr>
              <w:jc w:val="left"/>
              <w:rPr>
                <w:rFonts w:hint="eastAsia" w:ascii="仿宋" w:hAnsi="仿宋" w:eastAsia="仿宋" w:cs="仿宋"/>
                <w:color w:val="auto"/>
                <w:sz w:val="28"/>
                <w:szCs w:val="28"/>
              </w:rPr>
            </w:pPr>
            <w:r>
              <w:rPr>
                <w:rFonts w:hint="eastAsia" w:ascii="仿宋" w:hAnsi="仿宋" w:eastAsia="仿宋" w:cs="仿宋"/>
                <w:b/>
                <w:bCs/>
                <w:color w:val="auto"/>
                <w:sz w:val="28"/>
                <w:szCs w:val="28"/>
              </w:rPr>
              <w:t>18、公司未来是否有其他战略投资规划？比如产业链其他板块的收并购，或者参与投资产业基金？</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答；公司重大投资规划以公告为准。</w:t>
            </w:r>
          </w:p>
          <w:p w14:paraId="1BCB4203">
            <w:pPr>
              <w:jc w:val="left"/>
              <w:rPr>
                <w:rFonts w:hint="eastAsia" w:ascii="仿宋" w:hAnsi="仿宋" w:eastAsia="仿宋" w:cs="仿宋"/>
                <w:color w:val="auto"/>
                <w:sz w:val="28"/>
                <w:szCs w:val="28"/>
              </w:rPr>
            </w:pPr>
            <w:r>
              <w:rPr>
                <w:rFonts w:hint="eastAsia" w:ascii="仿宋" w:hAnsi="仿宋" w:eastAsia="仿宋" w:cs="仿宋"/>
                <w:b/>
                <w:bCs/>
                <w:color w:val="auto"/>
                <w:sz w:val="28"/>
                <w:szCs w:val="28"/>
              </w:rPr>
              <w:t>19、输配电及控制设备业务存在账期问题，避免应收账款坏账风险，公司是否有完善的风险统筹管理体系，包括市面上相关保险产品作为风险对冲？</w:t>
            </w:r>
          </w:p>
          <w:p w14:paraId="52B3F00D">
            <w:pPr>
              <w:jc w:val="left"/>
              <w:rPr>
                <w:rFonts w:hint="eastAsia"/>
                <w:color w:val="auto"/>
                <w:lang w:val="en-US" w:eastAsia="zh-CN"/>
              </w:rPr>
            </w:pPr>
            <w:r>
              <w:rPr>
                <w:rFonts w:hint="eastAsia" w:ascii="仿宋" w:hAnsi="仿宋" w:eastAsia="仿宋" w:cs="仿宋"/>
                <w:color w:val="auto"/>
                <w:sz w:val="28"/>
                <w:szCs w:val="28"/>
              </w:rPr>
              <w:t>答：公司清楚认识到建立一个完善且与之高度匹配的风险管理系统是战略升级成功的先决条件，公司会根据实际经营发展实时综合调整提升相关风险控制系统。公司认为市面上相关保险工具纳入应收账款风险管理体系是构建成熟、稳健的“全生命周期综合解决”商业模式的关键一环；这不仅是一种风险对冲，更是一种战略性的财务和业务赋能工具，公司考虑折机选择合适产品。</w:t>
            </w:r>
            <w:r>
              <w:rPr>
                <w:rFonts w:hint="eastAsia" w:ascii="仿宋" w:hAnsi="仿宋" w:eastAsia="仿宋" w:cs="仿宋"/>
                <w:color w:val="auto"/>
                <w:sz w:val="28"/>
                <w:szCs w:val="28"/>
              </w:rPr>
              <w:br w:type="textWrapping"/>
            </w:r>
            <w:r>
              <w:rPr>
                <w:rFonts w:hint="eastAsia" w:ascii="仿宋" w:hAnsi="仿宋" w:eastAsia="仿宋" w:cs="仿宋"/>
                <w:b/>
                <w:bCs/>
                <w:color w:val="auto"/>
                <w:sz w:val="28"/>
                <w:szCs w:val="28"/>
              </w:rPr>
              <w:t>20、公司本次向特定对象发行股票，出发点是什么？</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答：首先，本次向特定对象通过认购发行股票可巩固控股股东的控制地位，此举将提升公司控股股东的持股比例，有助于进一步增强公司控制权的稳定性。</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 xml:space="preserve">    同时，公司控股股东之一的杨泽民先生控制的企业全额认购此次发行的股票，彰显其对上市公司未来发展前景的坚定信心，有利于向市场以及中小股东传递积极信号。</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 xml:space="preserve">   另外，随着公司业务规模的扩张以及公司发展战略的实施，公司资金需求逐步增加。本次向特定对象发行股票募集资金扣除发行费用后拟用于补充流动资金，此举可优化公司资本结构，提高公司抗风险能力，有效提升公司的资金实力，可以为公司业务发展提供资金支持，实现战略发展目标。</w:t>
            </w:r>
          </w:p>
        </w:tc>
      </w:tr>
      <w:tr w14:paraId="3DDF0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792" w:type="dxa"/>
          </w:tcPr>
          <w:p w14:paraId="6DC63E8E">
            <w:pPr>
              <w:spacing w:line="360" w:lineRule="auto"/>
              <w:jc w:val="center"/>
              <w:rPr>
                <w:b/>
                <w:bCs/>
                <w:color w:val="auto"/>
                <w:sz w:val="24"/>
                <w:szCs w:val="32"/>
              </w:rPr>
            </w:pPr>
            <w:r>
              <w:rPr>
                <w:rFonts w:hint="eastAsia" w:ascii="仿宋" w:hAnsi="仿宋" w:eastAsia="仿宋" w:cs="仿宋"/>
                <w:b/>
                <w:bCs/>
                <w:color w:val="auto"/>
                <w:spacing w:val="-2"/>
                <w:sz w:val="28"/>
                <w:szCs w:val="28"/>
              </w:rPr>
              <w:t xml:space="preserve"> 附件清单 (如有)</w:t>
            </w:r>
          </w:p>
        </w:tc>
        <w:tc>
          <w:tcPr>
            <w:tcW w:w="6662" w:type="dxa"/>
            <w:gridSpan w:val="2"/>
          </w:tcPr>
          <w:p w14:paraId="16A0D96D">
            <w:pPr>
              <w:spacing w:line="360" w:lineRule="auto"/>
              <w:jc w:val="both"/>
              <w:rPr>
                <w:color w:val="auto"/>
              </w:rPr>
            </w:pPr>
          </w:p>
        </w:tc>
      </w:tr>
      <w:tr w14:paraId="3D785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2" w:type="dxa"/>
          </w:tcPr>
          <w:p w14:paraId="19F92AB6">
            <w:pPr>
              <w:spacing w:line="360" w:lineRule="auto"/>
              <w:ind w:firstLine="277" w:firstLineChars="100"/>
              <w:jc w:val="left"/>
              <w:rPr>
                <w:rFonts w:hint="eastAsia" w:ascii="仿宋" w:hAnsi="仿宋" w:eastAsia="仿宋" w:cs="仿宋"/>
                <w:b/>
                <w:bCs/>
                <w:color w:val="auto"/>
                <w:spacing w:val="-2"/>
                <w:sz w:val="28"/>
                <w:szCs w:val="28"/>
              </w:rPr>
            </w:pPr>
            <w:r>
              <w:rPr>
                <w:rFonts w:hint="eastAsia" w:ascii="仿宋" w:hAnsi="仿宋" w:eastAsia="仿宋" w:cs="仿宋"/>
                <w:b/>
                <w:bCs/>
                <w:color w:val="auto"/>
                <w:spacing w:val="-2"/>
                <w:sz w:val="28"/>
                <w:szCs w:val="28"/>
              </w:rPr>
              <w:t>相关提示</w:t>
            </w:r>
          </w:p>
        </w:tc>
        <w:tc>
          <w:tcPr>
            <w:tcW w:w="6662" w:type="dxa"/>
            <w:gridSpan w:val="2"/>
          </w:tcPr>
          <w:p w14:paraId="648CC058">
            <w:pPr>
              <w:widowControl/>
              <w:spacing w:line="360" w:lineRule="auto"/>
              <w:jc w:val="left"/>
              <w:rPr>
                <w:color w:val="auto"/>
              </w:rPr>
            </w:pPr>
            <w:r>
              <w:rPr>
                <w:rFonts w:hint="eastAsia" w:ascii="仿宋" w:hAnsi="仿宋" w:eastAsia="仿宋" w:cs="仿宋"/>
                <w:color w:val="auto"/>
                <w:sz w:val="28"/>
                <w:szCs w:val="28"/>
              </w:rPr>
              <w:t>调研内容均不涉及公司内幕信息及相关未披露的重大事项信息。内容涉及对行业的预测、公司发展战略规划等相关内容，不能视作公司或公司管理层对行业、公司发展的承诺和保证，敬请广大投资者注意投资风险。</w:t>
            </w:r>
          </w:p>
        </w:tc>
      </w:tr>
    </w:tbl>
    <w:p w14:paraId="3C4725F6"/>
    <w:sectPr>
      <w:pgSz w:w="11906" w:h="16838"/>
      <w:pgMar w:top="12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g2YWRmZGU0MDUxMGY0NWQyMTNhNjJiOTc3NzFiMjIifQ=="/>
  </w:docVars>
  <w:rsids>
    <w:rsidRoot w:val="00172A27"/>
    <w:rsid w:val="00013D5E"/>
    <w:rsid w:val="00013F2A"/>
    <w:rsid w:val="00025CC2"/>
    <w:rsid w:val="00052418"/>
    <w:rsid w:val="00065631"/>
    <w:rsid w:val="00065EB1"/>
    <w:rsid w:val="00086FF0"/>
    <w:rsid w:val="00097FFB"/>
    <w:rsid w:val="000D4D80"/>
    <w:rsid w:val="000F3D26"/>
    <w:rsid w:val="00126AED"/>
    <w:rsid w:val="00142881"/>
    <w:rsid w:val="00172A27"/>
    <w:rsid w:val="00174AF0"/>
    <w:rsid w:val="00180DE1"/>
    <w:rsid w:val="00181A75"/>
    <w:rsid w:val="00194169"/>
    <w:rsid w:val="001B4E56"/>
    <w:rsid w:val="001B72C1"/>
    <w:rsid w:val="001C2038"/>
    <w:rsid w:val="001D35C7"/>
    <w:rsid w:val="001D4EFA"/>
    <w:rsid w:val="002005EA"/>
    <w:rsid w:val="002418BA"/>
    <w:rsid w:val="00254BBC"/>
    <w:rsid w:val="002655E7"/>
    <w:rsid w:val="00272127"/>
    <w:rsid w:val="0027620F"/>
    <w:rsid w:val="002A5024"/>
    <w:rsid w:val="0031124A"/>
    <w:rsid w:val="003368B2"/>
    <w:rsid w:val="00336BA3"/>
    <w:rsid w:val="003534BF"/>
    <w:rsid w:val="003A73B3"/>
    <w:rsid w:val="003B1706"/>
    <w:rsid w:val="003D1413"/>
    <w:rsid w:val="003E5AA6"/>
    <w:rsid w:val="00403D34"/>
    <w:rsid w:val="00414BB4"/>
    <w:rsid w:val="00436D28"/>
    <w:rsid w:val="00456294"/>
    <w:rsid w:val="00486805"/>
    <w:rsid w:val="004B0A7B"/>
    <w:rsid w:val="004E5ABD"/>
    <w:rsid w:val="004F5749"/>
    <w:rsid w:val="00514BE7"/>
    <w:rsid w:val="00515EDE"/>
    <w:rsid w:val="005A2DDF"/>
    <w:rsid w:val="005D4831"/>
    <w:rsid w:val="005D7DA2"/>
    <w:rsid w:val="005F416C"/>
    <w:rsid w:val="00601749"/>
    <w:rsid w:val="006227BD"/>
    <w:rsid w:val="00644BB0"/>
    <w:rsid w:val="006464D5"/>
    <w:rsid w:val="0067780C"/>
    <w:rsid w:val="006A0B21"/>
    <w:rsid w:val="006A68BB"/>
    <w:rsid w:val="006C3C21"/>
    <w:rsid w:val="006D3243"/>
    <w:rsid w:val="006E764C"/>
    <w:rsid w:val="00714693"/>
    <w:rsid w:val="00740926"/>
    <w:rsid w:val="007E6D44"/>
    <w:rsid w:val="00814B2F"/>
    <w:rsid w:val="00833C9D"/>
    <w:rsid w:val="008366D5"/>
    <w:rsid w:val="00862215"/>
    <w:rsid w:val="0088017F"/>
    <w:rsid w:val="008818C9"/>
    <w:rsid w:val="008A00DB"/>
    <w:rsid w:val="008A69FD"/>
    <w:rsid w:val="008C10A9"/>
    <w:rsid w:val="008C2D17"/>
    <w:rsid w:val="008C4853"/>
    <w:rsid w:val="008C60AF"/>
    <w:rsid w:val="00921781"/>
    <w:rsid w:val="00935E4B"/>
    <w:rsid w:val="00976954"/>
    <w:rsid w:val="009A6D94"/>
    <w:rsid w:val="009C378D"/>
    <w:rsid w:val="009D0775"/>
    <w:rsid w:val="009F6404"/>
    <w:rsid w:val="00A15A23"/>
    <w:rsid w:val="00A1652E"/>
    <w:rsid w:val="00A1748C"/>
    <w:rsid w:val="00A21894"/>
    <w:rsid w:val="00A40B7A"/>
    <w:rsid w:val="00A450B6"/>
    <w:rsid w:val="00A5380F"/>
    <w:rsid w:val="00A72B6A"/>
    <w:rsid w:val="00A74073"/>
    <w:rsid w:val="00A90D34"/>
    <w:rsid w:val="00A96CC9"/>
    <w:rsid w:val="00AB456F"/>
    <w:rsid w:val="00B010DC"/>
    <w:rsid w:val="00B27AB7"/>
    <w:rsid w:val="00B4710E"/>
    <w:rsid w:val="00B96C36"/>
    <w:rsid w:val="00BA5812"/>
    <w:rsid w:val="00BB67A9"/>
    <w:rsid w:val="00BF274D"/>
    <w:rsid w:val="00C114B4"/>
    <w:rsid w:val="00C15888"/>
    <w:rsid w:val="00C31931"/>
    <w:rsid w:val="00C46D12"/>
    <w:rsid w:val="00C505DD"/>
    <w:rsid w:val="00C5503C"/>
    <w:rsid w:val="00CE55C5"/>
    <w:rsid w:val="00CE6ED0"/>
    <w:rsid w:val="00D10841"/>
    <w:rsid w:val="00D21930"/>
    <w:rsid w:val="00DA4071"/>
    <w:rsid w:val="00DE6EC6"/>
    <w:rsid w:val="00DF24CE"/>
    <w:rsid w:val="00DF708B"/>
    <w:rsid w:val="00E9768D"/>
    <w:rsid w:val="00EA1DC2"/>
    <w:rsid w:val="00EA2274"/>
    <w:rsid w:val="00EA2D9A"/>
    <w:rsid w:val="00EB5F7E"/>
    <w:rsid w:val="00EC1EEE"/>
    <w:rsid w:val="00ED7DCB"/>
    <w:rsid w:val="00F02C55"/>
    <w:rsid w:val="00F16D0B"/>
    <w:rsid w:val="00F17782"/>
    <w:rsid w:val="00F3330A"/>
    <w:rsid w:val="00F63F50"/>
    <w:rsid w:val="00F765A5"/>
    <w:rsid w:val="00F864BF"/>
    <w:rsid w:val="00FA00A3"/>
    <w:rsid w:val="00FA0617"/>
    <w:rsid w:val="00FA51AD"/>
    <w:rsid w:val="00FD1CC3"/>
    <w:rsid w:val="00FE1A6E"/>
    <w:rsid w:val="00FF4099"/>
    <w:rsid w:val="01284E1B"/>
    <w:rsid w:val="013E75F8"/>
    <w:rsid w:val="016420F2"/>
    <w:rsid w:val="01C20073"/>
    <w:rsid w:val="020060F9"/>
    <w:rsid w:val="02134CB8"/>
    <w:rsid w:val="027470CC"/>
    <w:rsid w:val="02E96BCD"/>
    <w:rsid w:val="02EE5EC8"/>
    <w:rsid w:val="02F32E0C"/>
    <w:rsid w:val="02F47D1B"/>
    <w:rsid w:val="03237D85"/>
    <w:rsid w:val="03986CEB"/>
    <w:rsid w:val="03BE368D"/>
    <w:rsid w:val="03C74BB5"/>
    <w:rsid w:val="042B21AE"/>
    <w:rsid w:val="04574920"/>
    <w:rsid w:val="04775F12"/>
    <w:rsid w:val="04E173D1"/>
    <w:rsid w:val="04F16AB7"/>
    <w:rsid w:val="051B0D6D"/>
    <w:rsid w:val="0536650D"/>
    <w:rsid w:val="054C52D8"/>
    <w:rsid w:val="05C124D3"/>
    <w:rsid w:val="05CE4BC5"/>
    <w:rsid w:val="069468A4"/>
    <w:rsid w:val="07293D6D"/>
    <w:rsid w:val="079239C5"/>
    <w:rsid w:val="079C3C62"/>
    <w:rsid w:val="07B94BDA"/>
    <w:rsid w:val="07C54B4B"/>
    <w:rsid w:val="07D102E3"/>
    <w:rsid w:val="07FF4FEA"/>
    <w:rsid w:val="08086333"/>
    <w:rsid w:val="083F6263"/>
    <w:rsid w:val="08406CE4"/>
    <w:rsid w:val="086053D6"/>
    <w:rsid w:val="08694E0E"/>
    <w:rsid w:val="08A95EF6"/>
    <w:rsid w:val="08B13535"/>
    <w:rsid w:val="08BD0334"/>
    <w:rsid w:val="09873FB3"/>
    <w:rsid w:val="09950955"/>
    <w:rsid w:val="09C676BC"/>
    <w:rsid w:val="0A2911E1"/>
    <w:rsid w:val="0AA52A4B"/>
    <w:rsid w:val="0AB96EDF"/>
    <w:rsid w:val="0B416CC0"/>
    <w:rsid w:val="0B482792"/>
    <w:rsid w:val="0B7C0033"/>
    <w:rsid w:val="0B8B40BA"/>
    <w:rsid w:val="0B9A2D2D"/>
    <w:rsid w:val="0BBC492E"/>
    <w:rsid w:val="0BE53059"/>
    <w:rsid w:val="0C27489D"/>
    <w:rsid w:val="0CA2437E"/>
    <w:rsid w:val="0CC65D86"/>
    <w:rsid w:val="0CE813E4"/>
    <w:rsid w:val="0D1B1ACD"/>
    <w:rsid w:val="0D244E26"/>
    <w:rsid w:val="0D5355B7"/>
    <w:rsid w:val="0D553692"/>
    <w:rsid w:val="0D613090"/>
    <w:rsid w:val="0D9123B3"/>
    <w:rsid w:val="0D984241"/>
    <w:rsid w:val="0DA66F51"/>
    <w:rsid w:val="0DAA2575"/>
    <w:rsid w:val="0DBB7AFD"/>
    <w:rsid w:val="0DFB5FF5"/>
    <w:rsid w:val="0E4478C6"/>
    <w:rsid w:val="0E460794"/>
    <w:rsid w:val="0E461F04"/>
    <w:rsid w:val="0E637FDA"/>
    <w:rsid w:val="0EA15698"/>
    <w:rsid w:val="0F056591"/>
    <w:rsid w:val="0F080F08"/>
    <w:rsid w:val="0F585187"/>
    <w:rsid w:val="0F7D2198"/>
    <w:rsid w:val="0F8C6010"/>
    <w:rsid w:val="0FBE58EE"/>
    <w:rsid w:val="0FF54B8C"/>
    <w:rsid w:val="10072271"/>
    <w:rsid w:val="103121E7"/>
    <w:rsid w:val="103143DF"/>
    <w:rsid w:val="10583A7A"/>
    <w:rsid w:val="109B0818"/>
    <w:rsid w:val="10A739D5"/>
    <w:rsid w:val="10BB519D"/>
    <w:rsid w:val="10C10D6E"/>
    <w:rsid w:val="110A7E8F"/>
    <w:rsid w:val="1114107F"/>
    <w:rsid w:val="115D0AC9"/>
    <w:rsid w:val="11651119"/>
    <w:rsid w:val="11710A28"/>
    <w:rsid w:val="11A76ED1"/>
    <w:rsid w:val="11BB1862"/>
    <w:rsid w:val="11F47D3F"/>
    <w:rsid w:val="120224E3"/>
    <w:rsid w:val="12034295"/>
    <w:rsid w:val="1221208B"/>
    <w:rsid w:val="122F22A3"/>
    <w:rsid w:val="1253015A"/>
    <w:rsid w:val="12557603"/>
    <w:rsid w:val="127C6B6A"/>
    <w:rsid w:val="12B117A1"/>
    <w:rsid w:val="13566077"/>
    <w:rsid w:val="136046DE"/>
    <w:rsid w:val="13DC7C8A"/>
    <w:rsid w:val="13E23345"/>
    <w:rsid w:val="13FE2086"/>
    <w:rsid w:val="14307D5E"/>
    <w:rsid w:val="143E1595"/>
    <w:rsid w:val="14A800EA"/>
    <w:rsid w:val="157D5ACE"/>
    <w:rsid w:val="157E1EF2"/>
    <w:rsid w:val="15CB6F31"/>
    <w:rsid w:val="16302145"/>
    <w:rsid w:val="164E43BB"/>
    <w:rsid w:val="16665CBB"/>
    <w:rsid w:val="16791831"/>
    <w:rsid w:val="17271DF9"/>
    <w:rsid w:val="17443F1A"/>
    <w:rsid w:val="174B04D5"/>
    <w:rsid w:val="1763586C"/>
    <w:rsid w:val="1771193C"/>
    <w:rsid w:val="17887D5F"/>
    <w:rsid w:val="17EF3F46"/>
    <w:rsid w:val="18057602"/>
    <w:rsid w:val="18756BA8"/>
    <w:rsid w:val="18824CEE"/>
    <w:rsid w:val="189A2BFA"/>
    <w:rsid w:val="189A34D5"/>
    <w:rsid w:val="18D41224"/>
    <w:rsid w:val="18EA4FC5"/>
    <w:rsid w:val="18F97D87"/>
    <w:rsid w:val="19252D8F"/>
    <w:rsid w:val="193B413F"/>
    <w:rsid w:val="19933997"/>
    <w:rsid w:val="19B10934"/>
    <w:rsid w:val="1A4D521D"/>
    <w:rsid w:val="1A506DCE"/>
    <w:rsid w:val="1AEB69E4"/>
    <w:rsid w:val="1B0D155D"/>
    <w:rsid w:val="1B2C2344"/>
    <w:rsid w:val="1B3D709A"/>
    <w:rsid w:val="1BB71CD0"/>
    <w:rsid w:val="1BE2740F"/>
    <w:rsid w:val="1C0702B5"/>
    <w:rsid w:val="1C0A2C53"/>
    <w:rsid w:val="1C164930"/>
    <w:rsid w:val="1C385050"/>
    <w:rsid w:val="1C3927D6"/>
    <w:rsid w:val="1CA05B4B"/>
    <w:rsid w:val="1CDE5159"/>
    <w:rsid w:val="1CEF5573"/>
    <w:rsid w:val="1D100F23"/>
    <w:rsid w:val="1D232A04"/>
    <w:rsid w:val="1D4B6CB9"/>
    <w:rsid w:val="1D6C418B"/>
    <w:rsid w:val="1DBD4D7F"/>
    <w:rsid w:val="1E102EF7"/>
    <w:rsid w:val="1E5438BD"/>
    <w:rsid w:val="1E5953A7"/>
    <w:rsid w:val="1E7E4D14"/>
    <w:rsid w:val="1EBC5191"/>
    <w:rsid w:val="1F1F369F"/>
    <w:rsid w:val="1F690F58"/>
    <w:rsid w:val="20272301"/>
    <w:rsid w:val="20382140"/>
    <w:rsid w:val="20452672"/>
    <w:rsid w:val="20653548"/>
    <w:rsid w:val="207842BC"/>
    <w:rsid w:val="20A35799"/>
    <w:rsid w:val="20A8063A"/>
    <w:rsid w:val="21135143"/>
    <w:rsid w:val="21245CDD"/>
    <w:rsid w:val="213B6D8D"/>
    <w:rsid w:val="21464F13"/>
    <w:rsid w:val="216E7866"/>
    <w:rsid w:val="221C5C74"/>
    <w:rsid w:val="222D5297"/>
    <w:rsid w:val="225A2C43"/>
    <w:rsid w:val="2279283A"/>
    <w:rsid w:val="227D0076"/>
    <w:rsid w:val="22993768"/>
    <w:rsid w:val="22C8294E"/>
    <w:rsid w:val="22DA54E7"/>
    <w:rsid w:val="22DE6CDF"/>
    <w:rsid w:val="23163A8F"/>
    <w:rsid w:val="231B23CF"/>
    <w:rsid w:val="2322550C"/>
    <w:rsid w:val="23242738"/>
    <w:rsid w:val="23357B35"/>
    <w:rsid w:val="233D19B4"/>
    <w:rsid w:val="235B35D0"/>
    <w:rsid w:val="23A324C0"/>
    <w:rsid w:val="24101808"/>
    <w:rsid w:val="2458710C"/>
    <w:rsid w:val="24605395"/>
    <w:rsid w:val="2462649A"/>
    <w:rsid w:val="24D05488"/>
    <w:rsid w:val="251807D0"/>
    <w:rsid w:val="253D070B"/>
    <w:rsid w:val="255363D8"/>
    <w:rsid w:val="259B1AA7"/>
    <w:rsid w:val="259B44F8"/>
    <w:rsid w:val="259E5319"/>
    <w:rsid w:val="26924584"/>
    <w:rsid w:val="26A42BA9"/>
    <w:rsid w:val="276A122F"/>
    <w:rsid w:val="27714256"/>
    <w:rsid w:val="277574DF"/>
    <w:rsid w:val="27C96CC8"/>
    <w:rsid w:val="27D259A3"/>
    <w:rsid w:val="27E9286C"/>
    <w:rsid w:val="285A7228"/>
    <w:rsid w:val="289E62C6"/>
    <w:rsid w:val="28BB5582"/>
    <w:rsid w:val="28D61962"/>
    <w:rsid w:val="29B50E26"/>
    <w:rsid w:val="2A3B763C"/>
    <w:rsid w:val="2A6F1301"/>
    <w:rsid w:val="2A99107E"/>
    <w:rsid w:val="2AA1140C"/>
    <w:rsid w:val="2AC428D0"/>
    <w:rsid w:val="2ACB2C0E"/>
    <w:rsid w:val="2AD029CD"/>
    <w:rsid w:val="2AE11247"/>
    <w:rsid w:val="2AE4326A"/>
    <w:rsid w:val="2B74156D"/>
    <w:rsid w:val="2BB459BA"/>
    <w:rsid w:val="2C0E531F"/>
    <w:rsid w:val="2C4E7372"/>
    <w:rsid w:val="2CA27CCF"/>
    <w:rsid w:val="2CEF2903"/>
    <w:rsid w:val="2CF63EA5"/>
    <w:rsid w:val="2D412918"/>
    <w:rsid w:val="2D61440C"/>
    <w:rsid w:val="2D6F0515"/>
    <w:rsid w:val="2DCE2070"/>
    <w:rsid w:val="2DE80973"/>
    <w:rsid w:val="2DE92F75"/>
    <w:rsid w:val="2DEF266F"/>
    <w:rsid w:val="2E0E4369"/>
    <w:rsid w:val="2E53443E"/>
    <w:rsid w:val="2E617528"/>
    <w:rsid w:val="2E805365"/>
    <w:rsid w:val="2E913E63"/>
    <w:rsid w:val="2EC01514"/>
    <w:rsid w:val="2F125AA3"/>
    <w:rsid w:val="2F302D5E"/>
    <w:rsid w:val="2F4900A4"/>
    <w:rsid w:val="2F623869"/>
    <w:rsid w:val="2F857D67"/>
    <w:rsid w:val="2FE2647C"/>
    <w:rsid w:val="3024536D"/>
    <w:rsid w:val="30385986"/>
    <w:rsid w:val="304C7546"/>
    <w:rsid w:val="306D0A4D"/>
    <w:rsid w:val="30BE5A67"/>
    <w:rsid w:val="30C955DC"/>
    <w:rsid w:val="30DE58EA"/>
    <w:rsid w:val="3115045E"/>
    <w:rsid w:val="31200E47"/>
    <w:rsid w:val="314B2DA7"/>
    <w:rsid w:val="31B77767"/>
    <w:rsid w:val="31CB61DD"/>
    <w:rsid w:val="31D86852"/>
    <w:rsid w:val="322375EB"/>
    <w:rsid w:val="325A1988"/>
    <w:rsid w:val="325B4961"/>
    <w:rsid w:val="32843012"/>
    <w:rsid w:val="32AA07AD"/>
    <w:rsid w:val="32AB26B5"/>
    <w:rsid w:val="32B7761C"/>
    <w:rsid w:val="32D63C1D"/>
    <w:rsid w:val="32F347CF"/>
    <w:rsid w:val="33015C82"/>
    <w:rsid w:val="337D071D"/>
    <w:rsid w:val="337D72C7"/>
    <w:rsid w:val="33F97BC3"/>
    <w:rsid w:val="342D2050"/>
    <w:rsid w:val="349B1368"/>
    <w:rsid w:val="34A05977"/>
    <w:rsid w:val="34D32B0A"/>
    <w:rsid w:val="350543B6"/>
    <w:rsid w:val="354107BC"/>
    <w:rsid w:val="35501E23"/>
    <w:rsid w:val="35672E55"/>
    <w:rsid w:val="35675E3D"/>
    <w:rsid w:val="35934A0F"/>
    <w:rsid w:val="35AD18B2"/>
    <w:rsid w:val="35D07322"/>
    <w:rsid w:val="36071C0F"/>
    <w:rsid w:val="361A78AC"/>
    <w:rsid w:val="36366780"/>
    <w:rsid w:val="36A52284"/>
    <w:rsid w:val="36C53729"/>
    <w:rsid w:val="370E17C2"/>
    <w:rsid w:val="372806CC"/>
    <w:rsid w:val="376D444E"/>
    <w:rsid w:val="37751BCC"/>
    <w:rsid w:val="37B620E2"/>
    <w:rsid w:val="37CA5DC3"/>
    <w:rsid w:val="37FA6FA7"/>
    <w:rsid w:val="380E7807"/>
    <w:rsid w:val="3811361D"/>
    <w:rsid w:val="38336ACB"/>
    <w:rsid w:val="385C3FDB"/>
    <w:rsid w:val="388F0AF6"/>
    <w:rsid w:val="38AE38A9"/>
    <w:rsid w:val="38AF62FB"/>
    <w:rsid w:val="38BC1488"/>
    <w:rsid w:val="39333B77"/>
    <w:rsid w:val="398E0301"/>
    <w:rsid w:val="39AC6D2C"/>
    <w:rsid w:val="39BE02CB"/>
    <w:rsid w:val="39D82F9C"/>
    <w:rsid w:val="3A3F2259"/>
    <w:rsid w:val="3A4C28FB"/>
    <w:rsid w:val="3A7B6A9F"/>
    <w:rsid w:val="3AA30888"/>
    <w:rsid w:val="3B133C60"/>
    <w:rsid w:val="3B235B76"/>
    <w:rsid w:val="3B275D45"/>
    <w:rsid w:val="3B331C0C"/>
    <w:rsid w:val="3B653F56"/>
    <w:rsid w:val="3B961557"/>
    <w:rsid w:val="3B9A1C8B"/>
    <w:rsid w:val="3BFF3EE8"/>
    <w:rsid w:val="3C487939"/>
    <w:rsid w:val="3C506111"/>
    <w:rsid w:val="3CA04076"/>
    <w:rsid w:val="3CDE390D"/>
    <w:rsid w:val="3CE5188C"/>
    <w:rsid w:val="3CF63A53"/>
    <w:rsid w:val="3D171075"/>
    <w:rsid w:val="3D6C377B"/>
    <w:rsid w:val="3D6D6452"/>
    <w:rsid w:val="3D724579"/>
    <w:rsid w:val="3DB42DAD"/>
    <w:rsid w:val="3DE607E1"/>
    <w:rsid w:val="3DE9412E"/>
    <w:rsid w:val="3DF169B0"/>
    <w:rsid w:val="3DFD2205"/>
    <w:rsid w:val="3E170F3B"/>
    <w:rsid w:val="3E1D6BA4"/>
    <w:rsid w:val="3E4A58E8"/>
    <w:rsid w:val="3E83372B"/>
    <w:rsid w:val="3E8E421E"/>
    <w:rsid w:val="3E9660B6"/>
    <w:rsid w:val="3EAE2E24"/>
    <w:rsid w:val="3EB27BA5"/>
    <w:rsid w:val="3EE52729"/>
    <w:rsid w:val="3F141D55"/>
    <w:rsid w:val="3F244CC1"/>
    <w:rsid w:val="3F530871"/>
    <w:rsid w:val="3F5C46E6"/>
    <w:rsid w:val="3F6708E2"/>
    <w:rsid w:val="3FA253C9"/>
    <w:rsid w:val="3FC227CD"/>
    <w:rsid w:val="40403448"/>
    <w:rsid w:val="41105DF3"/>
    <w:rsid w:val="411E4B7E"/>
    <w:rsid w:val="41486274"/>
    <w:rsid w:val="41D62EBD"/>
    <w:rsid w:val="4272634B"/>
    <w:rsid w:val="427E51A4"/>
    <w:rsid w:val="427F3FDA"/>
    <w:rsid w:val="42BC2416"/>
    <w:rsid w:val="42E42BC9"/>
    <w:rsid w:val="431762B8"/>
    <w:rsid w:val="435C0B63"/>
    <w:rsid w:val="438049FB"/>
    <w:rsid w:val="438F11EC"/>
    <w:rsid w:val="43C628AC"/>
    <w:rsid w:val="43EE4CC7"/>
    <w:rsid w:val="449129B0"/>
    <w:rsid w:val="449A6D4F"/>
    <w:rsid w:val="44A1445C"/>
    <w:rsid w:val="44B65017"/>
    <w:rsid w:val="44CA3141"/>
    <w:rsid w:val="44CB61A9"/>
    <w:rsid w:val="44D00A48"/>
    <w:rsid w:val="44DA7E8F"/>
    <w:rsid w:val="44DE5295"/>
    <w:rsid w:val="450F48DF"/>
    <w:rsid w:val="4527524F"/>
    <w:rsid w:val="454F3AE7"/>
    <w:rsid w:val="456D3C36"/>
    <w:rsid w:val="457101E2"/>
    <w:rsid w:val="458B74A6"/>
    <w:rsid w:val="45ED7D4D"/>
    <w:rsid w:val="461B65AA"/>
    <w:rsid w:val="462705C0"/>
    <w:rsid w:val="46393B5F"/>
    <w:rsid w:val="46655F66"/>
    <w:rsid w:val="46820218"/>
    <w:rsid w:val="46DB13AA"/>
    <w:rsid w:val="477F3EB0"/>
    <w:rsid w:val="47D013F3"/>
    <w:rsid w:val="47D33A8B"/>
    <w:rsid w:val="47DE6C76"/>
    <w:rsid w:val="47E17BFB"/>
    <w:rsid w:val="47F42887"/>
    <w:rsid w:val="48140987"/>
    <w:rsid w:val="48512FD1"/>
    <w:rsid w:val="488E4926"/>
    <w:rsid w:val="489A7C6C"/>
    <w:rsid w:val="4929619B"/>
    <w:rsid w:val="492D57AE"/>
    <w:rsid w:val="492E4EFC"/>
    <w:rsid w:val="49A64064"/>
    <w:rsid w:val="49BB3561"/>
    <w:rsid w:val="49BC3603"/>
    <w:rsid w:val="49C600F0"/>
    <w:rsid w:val="4A0E0038"/>
    <w:rsid w:val="4A147191"/>
    <w:rsid w:val="4A6F2AC4"/>
    <w:rsid w:val="4ACB30BA"/>
    <w:rsid w:val="4AEB6431"/>
    <w:rsid w:val="4B021694"/>
    <w:rsid w:val="4B1D4687"/>
    <w:rsid w:val="4B553E21"/>
    <w:rsid w:val="4B6E7038"/>
    <w:rsid w:val="4B7F5B7B"/>
    <w:rsid w:val="4BB96A04"/>
    <w:rsid w:val="4BC41C91"/>
    <w:rsid w:val="4C3C26CF"/>
    <w:rsid w:val="4C4A7997"/>
    <w:rsid w:val="4C4F2E23"/>
    <w:rsid w:val="4D072F6F"/>
    <w:rsid w:val="4D0E77BC"/>
    <w:rsid w:val="4D2A4B20"/>
    <w:rsid w:val="4D4001B9"/>
    <w:rsid w:val="4D774051"/>
    <w:rsid w:val="4D8D73BE"/>
    <w:rsid w:val="4DA11701"/>
    <w:rsid w:val="4DA51E86"/>
    <w:rsid w:val="4DAC62CE"/>
    <w:rsid w:val="4DD40B5B"/>
    <w:rsid w:val="4E0261A4"/>
    <w:rsid w:val="4E5715CC"/>
    <w:rsid w:val="4E676345"/>
    <w:rsid w:val="4ED478D5"/>
    <w:rsid w:val="4EE96D5A"/>
    <w:rsid w:val="4F6A0636"/>
    <w:rsid w:val="4FAF178A"/>
    <w:rsid w:val="4FDD5DBB"/>
    <w:rsid w:val="50157CD3"/>
    <w:rsid w:val="509831AF"/>
    <w:rsid w:val="50A21DBF"/>
    <w:rsid w:val="50AC0E6C"/>
    <w:rsid w:val="5154665E"/>
    <w:rsid w:val="515A6091"/>
    <w:rsid w:val="51B57115"/>
    <w:rsid w:val="51E14A36"/>
    <w:rsid w:val="52126329"/>
    <w:rsid w:val="521640C9"/>
    <w:rsid w:val="52470583"/>
    <w:rsid w:val="52E3448B"/>
    <w:rsid w:val="52E602D1"/>
    <w:rsid w:val="533453A9"/>
    <w:rsid w:val="539A209A"/>
    <w:rsid w:val="53B3096B"/>
    <w:rsid w:val="53D505E2"/>
    <w:rsid w:val="53EE6EF4"/>
    <w:rsid w:val="5432079C"/>
    <w:rsid w:val="54777864"/>
    <w:rsid w:val="548F745F"/>
    <w:rsid w:val="54B17FBE"/>
    <w:rsid w:val="54B87904"/>
    <w:rsid w:val="54FF0C91"/>
    <w:rsid w:val="552807EF"/>
    <w:rsid w:val="55772575"/>
    <w:rsid w:val="557D4CE3"/>
    <w:rsid w:val="55985C34"/>
    <w:rsid w:val="55D21A3E"/>
    <w:rsid w:val="562A186C"/>
    <w:rsid w:val="563313AB"/>
    <w:rsid w:val="56D1536B"/>
    <w:rsid w:val="571A1A7B"/>
    <w:rsid w:val="574D22F3"/>
    <w:rsid w:val="57723FD4"/>
    <w:rsid w:val="57B57EBE"/>
    <w:rsid w:val="57B92425"/>
    <w:rsid w:val="57BB500C"/>
    <w:rsid w:val="57CE581F"/>
    <w:rsid w:val="57D66975"/>
    <w:rsid w:val="57DC2701"/>
    <w:rsid w:val="58134E48"/>
    <w:rsid w:val="58A843C6"/>
    <w:rsid w:val="592301E1"/>
    <w:rsid w:val="59554E3B"/>
    <w:rsid w:val="596D1838"/>
    <w:rsid w:val="597C4D04"/>
    <w:rsid w:val="59917A86"/>
    <w:rsid w:val="59A10231"/>
    <w:rsid w:val="5A1E7263"/>
    <w:rsid w:val="5A4F7C8D"/>
    <w:rsid w:val="5A561049"/>
    <w:rsid w:val="5A7F55EC"/>
    <w:rsid w:val="5ADD3AB9"/>
    <w:rsid w:val="5B1C014C"/>
    <w:rsid w:val="5B673C31"/>
    <w:rsid w:val="5B765CFE"/>
    <w:rsid w:val="5C2D2CA7"/>
    <w:rsid w:val="5C472799"/>
    <w:rsid w:val="5C7A734A"/>
    <w:rsid w:val="5CA87D85"/>
    <w:rsid w:val="5CCC76A3"/>
    <w:rsid w:val="5CD61BD7"/>
    <w:rsid w:val="5CD858CE"/>
    <w:rsid w:val="5CDD1CAA"/>
    <w:rsid w:val="5CFF1C77"/>
    <w:rsid w:val="5D156F6C"/>
    <w:rsid w:val="5D2A4E86"/>
    <w:rsid w:val="5D2C2FFF"/>
    <w:rsid w:val="5D5C2BD8"/>
    <w:rsid w:val="5DB161AF"/>
    <w:rsid w:val="5E1E4AD4"/>
    <w:rsid w:val="5E467271"/>
    <w:rsid w:val="5E745CD6"/>
    <w:rsid w:val="5E754F3D"/>
    <w:rsid w:val="5EA17BBA"/>
    <w:rsid w:val="5EC30CE3"/>
    <w:rsid w:val="5EFA3382"/>
    <w:rsid w:val="5EFE4B3A"/>
    <w:rsid w:val="5F237F75"/>
    <w:rsid w:val="5F8B0BDC"/>
    <w:rsid w:val="5F9D130A"/>
    <w:rsid w:val="5FF55C85"/>
    <w:rsid w:val="603E5D79"/>
    <w:rsid w:val="606C06C2"/>
    <w:rsid w:val="60EC5EF2"/>
    <w:rsid w:val="60F5274C"/>
    <w:rsid w:val="614D033F"/>
    <w:rsid w:val="622938BA"/>
    <w:rsid w:val="622946BC"/>
    <w:rsid w:val="624928CA"/>
    <w:rsid w:val="629D2A1F"/>
    <w:rsid w:val="62ED08B8"/>
    <w:rsid w:val="62ED61DB"/>
    <w:rsid w:val="62F13719"/>
    <w:rsid w:val="62FD6687"/>
    <w:rsid w:val="63076D99"/>
    <w:rsid w:val="6360392C"/>
    <w:rsid w:val="63860BC4"/>
    <w:rsid w:val="63A64A02"/>
    <w:rsid w:val="63A92E44"/>
    <w:rsid w:val="63CA23DA"/>
    <w:rsid w:val="63FE402F"/>
    <w:rsid w:val="643636A3"/>
    <w:rsid w:val="64442C0B"/>
    <w:rsid w:val="64587300"/>
    <w:rsid w:val="646D40E8"/>
    <w:rsid w:val="64757877"/>
    <w:rsid w:val="648512ED"/>
    <w:rsid w:val="64D40EFE"/>
    <w:rsid w:val="64E66515"/>
    <w:rsid w:val="659A151F"/>
    <w:rsid w:val="65C11893"/>
    <w:rsid w:val="65D442A0"/>
    <w:rsid w:val="65FF3F09"/>
    <w:rsid w:val="660D737A"/>
    <w:rsid w:val="660F6630"/>
    <w:rsid w:val="66E77804"/>
    <w:rsid w:val="66EC0AF7"/>
    <w:rsid w:val="66F03B9D"/>
    <w:rsid w:val="67873875"/>
    <w:rsid w:val="67FF4F72"/>
    <w:rsid w:val="680D6EB2"/>
    <w:rsid w:val="68353326"/>
    <w:rsid w:val="687E75D9"/>
    <w:rsid w:val="68D53F0D"/>
    <w:rsid w:val="68D5791B"/>
    <w:rsid w:val="68DA4C11"/>
    <w:rsid w:val="68E90A30"/>
    <w:rsid w:val="691F0A55"/>
    <w:rsid w:val="69232A11"/>
    <w:rsid w:val="69304D10"/>
    <w:rsid w:val="69677714"/>
    <w:rsid w:val="69855FE9"/>
    <w:rsid w:val="69877951"/>
    <w:rsid w:val="69F22D5A"/>
    <w:rsid w:val="69F83958"/>
    <w:rsid w:val="6A1A08A5"/>
    <w:rsid w:val="6A1B0A0D"/>
    <w:rsid w:val="6A2626FA"/>
    <w:rsid w:val="6A462E5B"/>
    <w:rsid w:val="6A870E0F"/>
    <w:rsid w:val="6A9B2674"/>
    <w:rsid w:val="6AAC573D"/>
    <w:rsid w:val="6AAE3893"/>
    <w:rsid w:val="6AF77660"/>
    <w:rsid w:val="6B51584D"/>
    <w:rsid w:val="6B832956"/>
    <w:rsid w:val="6B8754D9"/>
    <w:rsid w:val="6C0F7FD7"/>
    <w:rsid w:val="6C1F46EB"/>
    <w:rsid w:val="6C242858"/>
    <w:rsid w:val="6C5E0429"/>
    <w:rsid w:val="6C8E1655"/>
    <w:rsid w:val="6C90660F"/>
    <w:rsid w:val="6CCB19FA"/>
    <w:rsid w:val="6CF773AB"/>
    <w:rsid w:val="6D9F0B20"/>
    <w:rsid w:val="6DCF6E1E"/>
    <w:rsid w:val="6E0B7382"/>
    <w:rsid w:val="6E950837"/>
    <w:rsid w:val="6F2F2727"/>
    <w:rsid w:val="6F6A3147"/>
    <w:rsid w:val="6F7D7EAF"/>
    <w:rsid w:val="6F83464F"/>
    <w:rsid w:val="6FC40824"/>
    <w:rsid w:val="6FE52CEE"/>
    <w:rsid w:val="6FF66AA9"/>
    <w:rsid w:val="703B4EA9"/>
    <w:rsid w:val="70C920F0"/>
    <w:rsid w:val="70DE6F6B"/>
    <w:rsid w:val="70E51CD3"/>
    <w:rsid w:val="71655E64"/>
    <w:rsid w:val="71B457F4"/>
    <w:rsid w:val="71CA4040"/>
    <w:rsid w:val="72D679F5"/>
    <w:rsid w:val="72EA55A2"/>
    <w:rsid w:val="72F55AC2"/>
    <w:rsid w:val="732140CC"/>
    <w:rsid w:val="735B629C"/>
    <w:rsid w:val="736A607B"/>
    <w:rsid w:val="736D3206"/>
    <w:rsid w:val="73951FDA"/>
    <w:rsid w:val="743364C0"/>
    <w:rsid w:val="74545612"/>
    <w:rsid w:val="74675EA7"/>
    <w:rsid w:val="74AD26CC"/>
    <w:rsid w:val="74F87B4C"/>
    <w:rsid w:val="75006204"/>
    <w:rsid w:val="751F7C70"/>
    <w:rsid w:val="75207934"/>
    <w:rsid w:val="76147DED"/>
    <w:rsid w:val="7618410B"/>
    <w:rsid w:val="763921B6"/>
    <w:rsid w:val="76BE285E"/>
    <w:rsid w:val="770370DE"/>
    <w:rsid w:val="771E1BA7"/>
    <w:rsid w:val="7744501C"/>
    <w:rsid w:val="776C4A2B"/>
    <w:rsid w:val="77752FD1"/>
    <w:rsid w:val="77A80CB1"/>
    <w:rsid w:val="77C1619A"/>
    <w:rsid w:val="77C31E96"/>
    <w:rsid w:val="78273E7E"/>
    <w:rsid w:val="78793C5B"/>
    <w:rsid w:val="78CC2A74"/>
    <w:rsid w:val="78E006B5"/>
    <w:rsid w:val="78F60B5A"/>
    <w:rsid w:val="790330FE"/>
    <w:rsid w:val="79554276"/>
    <w:rsid w:val="796C5D0E"/>
    <w:rsid w:val="79715375"/>
    <w:rsid w:val="799F35DD"/>
    <w:rsid w:val="79A25B8B"/>
    <w:rsid w:val="7A0F3269"/>
    <w:rsid w:val="7A401BAE"/>
    <w:rsid w:val="7A7A220B"/>
    <w:rsid w:val="7AAB7433"/>
    <w:rsid w:val="7BE37F78"/>
    <w:rsid w:val="7BF46C63"/>
    <w:rsid w:val="7BFA1CF7"/>
    <w:rsid w:val="7C38637B"/>
    <w:rsid w:val="7CD460A4"/>
    <w:rsid w:val="7CE1144E"/>
    <w:rsid w:val="7CF36E72"/>
    <w:rsid w:val="7D7D2D75"/>
    <w:rsid w:val="7D935417"/>
    <w:rsid w:val="7DE12EA3"/>
    <w:rsid w:val="7E041932"/>
    <w:rsid w:val="7E0603C0"/>
    <w:rsid w:val="7E1C06D7"/>
    <w:rsid w:val="7E9706B7"/>
    <w:rsid w:val="7EFB200E"/>
    <w:rsid w:val="7F64612E"/>
    <w:rsid w:val="7F7C724C"/>
    <w:rsid w:val="7FC72C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spacing w:before="340" w:after="330" w:line="576" w:lineRule="auto"/>
      <w:outlineLvl w:val="0"/>
    </w:pPr>
    <w:rPr>
      <w:b/>
      <w:kern w:val="44"/>
      <w:sz w:val="44"/>
    </w:rPr>
  </w:style>
  <w:style w:type="paragraph" w:styleId="3">
    <w:name w:val="heading 4"/>
    <w:basedOn w:val="1"/>
    <w:next w:val="4"/>
    <w:autoRedefine/>
    <w:unhideWhenUsed/>
    <w:qFormat/>
    <w:uiPriority w:val="9"/>
    <w:pPr>
      <w:keepNext/>
      <w:keepLines/>
      <w:spacing w:before="200"/>
      <w:outlineLvl w:val="3"/>
    </w:pPr>
    <w:rPr>
      <w:rFonts w:asciiTheme="majorHAnsi" w:hAnsiTheme="majorHAnsi" w:eastAsiaTheme="majorEastAsia" w:cstheme="majorBidi"/>
      <w:b/>
      <w:bCs/>
      <w:color w:val="5B9BD5" w:themeColor="accent1"/>
      <w14:textFill>
        <w14:solidFill>
          <w14:schemeClr w14:val="accent1"/>
        </w14:solidFill>
      </w14:textFill>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Body Text"/>
    <w:basedOn w:val="1"/>
    <w:autoRedefine/>
    <w:qFormat/>
    <w:uiPriority w:val="0"/>
    <w:pPr>
      <w:spacing w:before="180" w:after="180"/>
    </w:pPr>
  </w:style>
  <w:style w:type="paragraph" w:styleId="5">
    <w:name w:val="annotation text"/>
    <w:basedOn w:val="1"/>
    <w:link w:val="19"/>
    <w:autoRedefine/>
    <w:qFormat/>
    <w:uiPriority w:val="0"/>
    <w:pPr>
      <w:jc w:val="left"/>
    </w:pPr>
  </w:style>
  <w:style w:type="paragraph" w:styleId="6">
    <w:name w:val="Body Text Indent 2"/>
    <w:basedOn w:val="1"/>
    <w:autoRedefine/>
    <w:unhideWhenUsed/>
    <w:qFormat/>
    <w:uiPriority w:val="99"/>
    <w:pPr>
      <w:spacing w:after="120" w:line="480" w:lineRule="auto"/>
      <w:ind w:left="420" w:leftChars="200"/>
    </w:pPr>
    <w:rPr>
      <w:rFonts w:ascii="Times New Roman" w:hAnsi="Times New Roman" w:cs="Times New Roman"/>
    </w:rPr>
  </w:style>
  <w:style w:type="paragraph" w:styleId="7">
    <w:name w:val="Balloon Text"/>
    <w:basedOn w:val="1"/>
    <w:link w:val="21"/>
    <w:autoRedefine/>
    <w:qFormat/>
    <w:uiPriority w:val="0"/>
    <w:rPr>
      <w:sz w:val="18"/>
      <w:szCs w:val="18"/>
    </w:rPr>
  </w:style>
  <w:style w:type="paragraph" w:styleId="8">
    <w:name w:val="footer"/>
    <w:basedOn w:val="1"/>
    <w:link w:val="18"/>
    <w:autoRedefine/>
    <w:qFormat/>
    <w:uiPriority w:val="0"/>
    <w:pPr>
      <w:tabs>
        <w:tab w:val="center" w:pos="4153"/>
        <w:tab w:val="right" w:pos="8306"/>
      </w:tabs>
      <w:snapToGrid w:val="0"/>
      <w:jc w:val="left"/>
    </w:pPr>
    <w:rPr>
      <w:sz w:val="18"/>
      <w:szCs w:val="18"/>
    </w:rPr>
  </w:style>
  <w:style w:type="paragraph" w:styleId="9">
    <w:name w:val="header"/>
    <w:basedOn w:val="1"/>
    <w:link w:val="17"/>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autoRedefine/>
    <w:qFormat/>
    <w:uiPriority w:val="0"/>
    <w:pPr>
      <w:spacing w:beforeAutospacing="1" w:afterAutospacing="1"/>
      <w:jc w:val="left"/>
    </w:pPr>
    <w:rPr>
      <w:rFonts w:cs="Times New Roman"/>
      <w:kern w:val="0"/>
      <w:sz w:val="24"/>
    </w:rPr>
  </w:style>
  <w:style w:type="paragraph" w:styleId="11">
    <w:name w:val="annotation subject"/>
    <w:basedOn w:val="5"/>
    <w:next w:val="5"/>
    <w:link w:val="20"/>
    <w:autoRedefine/>
    <w:qFormat/>
    <w:uiPriority w:val="0"/>
    <w:rPr>
      <w:b/>
      <w:bCs/>
    </w:rPr>
  </w:style>
  <w:style w:type="table" w:styleId="13">
    <w:name w:val="Table Grid"/>
    <w:basedOn w:val="1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annotation reference"/>
    <w:basedOn w:val="14"/>
    <w:autoRedefine/>
    <w:qFormat/>
    <w:uiPriority w:val="0"/>
    <w:rPr>
      <w:sz w:val="21"/>
      <w:szCs w:val="21"/>
    </w:rPr>
  </w:style>
  <w:style w:type="paragraph" w:styleId="16">
    <w:name w:val="List Paragraph"/>
    <w:basedOn w:val="1"/>
    <w:autoRedefine/>
    <w:qFormat/>
    <w:uiPriority w:val="34"/>
    <w:pPr>
      <w:ind w:firstLine="420" w:firstLineChars="200"/>
    </w:pPr>
  </w:style>
  <w:style w:type="character" w:customStyle="1" w:styleId="17">
    <w:name w:val="页眉 字符"/>
    <w:basedOn w:val="14"/>
    <w:link w:val="9"/>
    <w:autoRedefine/>
    <w:qFormat/>
    <w:uiPriority w:val="0"/>
    <w:rPr>
      <w:kern w:val="2"/>
      <w:sz w:val="18"/>
      <w:szCs w:val="18"/>
    </w:rPr>
  </w:style>
  <w:style w:type="character" w:customStyle="1" w:styleId="18">
    <w:name w:val="页脚 字符"/>
    <w:basedOn w:val="14"/>
    <w:link w:val="8"/>
    <w:autoRedefine/>
    <w:qFormat/>
    <w:uiPriority w:val="0"/>
    <w:rPr>
      <w:kern w:val="2"/>
      <w:sz w:val="18"/>
      <w:szCs w:val="18"/>
    </w:rPr>
  </w:style>
  <w:style w:type="character" w:customStyle="1" w:styleId="19">
    <w:name w:val="批注文字 字符"/>
    <w:basedOn w:val="14"/>
    <w:link w:val="5"/>
    <w:autoRedefine/>
    <w:qFormat/>
    <w:uiPriority w:val="0"/>
    <w:rPr>
      <w:kern w:val="2"/>
      <w:sz w:val="21"/>
      <w:szCs w:val="24"/>
    </w:rPr>
  </w:style>
  <w:style w:type="character" w:customStyle="1" w:styleId="20">
    <w:name w:val="批注主题 字符"/>
    <w:basedOn w:val="19"/>
    <w:link w:val="11"/>
    <w:autoRedefine/>
    <w:qFormat/>
    <w:uiPriority w:val="0"/>
    <w:rPr>
      <w:b/>
      <w:bCs/>
      <w:kern w:val="2"/>
      <w:sz w:val="21"/>
      <w:szCs w:val="24"/>
    </w:rPr>
  </w:style>
  <w:style w:type="character" w:customStyle="1" w:styleId="21">
    <w:name w:val="批注框文本 字符"/>
    <w:basedOn w:val="14"/>
    <w:link w:val="7"/>
    <w:autoRedefine/>
    <w:qFormat/>
    <w:uiPriority w:val="0"/>
    <w:rPr>
      <w:kern w:val="2"/>
      <w:sz w:val="18"/>
      <w:szCs w:val="18"/>
    </w:rPr>
  </w:style>
  <w:style w:type="paragraph" w:customStyle="1" w:styleId="22">
    <w:name w:val="修订1"/>
    <w:autoRedefine/>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23">
    <w:name w:val="Default"/>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24">
    <w:name w:val="年报正文"/>
    <w:basedOn w:val="1"/>
    <w:autoRedefine/>
    <w:qFormat/>
    <w:uiPriority w:val="0"/>
    <w:pPr>
      <w:spacing w:before="120" w:beforeLines="50" w:line="360" w:lineRule="auto"/>
      <w:ind w:firstLine="480" w:firstLineChars="200"/>
    </w:pPr>
  </w:style>
  <w:style w:type="paragraph" w:customStyle="1" w:styleId="25">
    <w:name w:val="First Paragraph"/>
    <w:basedOn w:val="4"/>
    <w:next w:val="4"/>
    <w:autoRedefine/>
    <w:qFormat/>
    <w:uiPriority w:val="0"/>
  </w:style>
  <w:style w:type="paragraph" w:customStyle="1" w:styleId="26">
    <w:name w:val="_Style 75"/>
    <w:basedOn w:val="27"/>
    <w:autoRedefine/>
    <w:qFormat/>
    <w:uiPriority w:val="34"/>
    <w:pPr>
      <w:widowControl w:val="0"/>
      <w:ind w:firstLine="420" w:firstLineChars="200"/>
      <w:jc w:val="both"/>
    </w:pPr>
    <w:rPr>
      <w:rFonts w:ascii="Calibri" w:hAnsi="Calibri" w:cs="Times New Roman"/>
      <w:kern w:val="2"/>
      <w:szCs w:val="22"/>
    </w:rPr>
  </w:style>
  <w:style w:type="paragraph" w:customStyle="1" w:styleId="27">
    <w:name w:val="_Style 46"/>
    <w:autoRedefine/>
    <w:qFormat/>
    <w:uiPriority w:val="0"/>
    <w:rPr>
      <w:rFonts w:ascii="宋体" w:hAnsi="宋体" w:eastAsia="宋体" w:cs="宋体"/>
      <w:szCs w:val="24"/>
      <w:lang w:val="en-US" w:eastAsia="zh-CN" w:bidi="ar-SA"/>
    </w:rPr>
  </w:style>
  <w:style w:type="paragraph" w:customStyle="1" w:styleId="28">
    <w:name w:val="_Style 6"/>
    <w:basedOn w:val="1"/>
    <w:autoRedefine/>
    <w:qFormat/>
    <w:uiPriority w:val="34"/>
    <w:pPr>
      <w:ind w:firstLine="420" w:firstLineChars="200"/>
    </w:pPr>
    <w:rPr>
      <w:rFonts w:ascii="Calibri" w:hAnsi="Calibri" w:eastAsia="宋体" w:cs="Times New Roman"/>
      <w:szCs w:val="22"/>
    </w:rPr>
  </w:style>
  <w:style w:type="paragraph" w:customStyle="1" w:styleId="29">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Company>
  <Pages>10</Pages>
  <Words>4063</Words>
  <Characters>4173</Characters>
  <Lines>33</Lines>
  <Paragraphs>9</Paragraphs>
  <TotalTime>221</TotalTime>
  <ScaleCrop>false</ScaleCrop>
  <LinksUpToDate>false</LinksUpToDate>
  <CharactersWithSpaces>4306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2023-02-03T05:11:00Z</dcterms:created>
  <dc:creator>zyx✨</dc:creator>
  <cp:lastModifiedBy>颜琬潼</cp:lastModifiedBy>
  <cp:lastPrinted>2022-07-08T01:10:00Z</cp:lastPrinted>
  <dcterms:modified xsi:type="dcterms:W3CDTF">2026-04-30T11:10:11Z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E4E8D73730904AA2A228A1BC3CC5AA48_13</vt:lpwstr>
  </property>
  <property fmtid="{D5CDD505-2E9C-101B-9397-08002B2CF9AE}" pid="4" name="KSOTemplateDocerSaveRecord">
    <vt:lpwstr>eyJoZGlkIjoiZDRhMTYxOGNmYWZhOTM4MWYxOTE1YTNhODg4NmU5ODUiLCJ1c2VySWQiOiI1ODE3NjQyMDYifQ==</vt:lpwstr>
  </property>
</Properties>
</file>