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A0CB1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0A0CB1" w:rsidRDefault="00B14369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0A0CB1" w:rsidRDefault="000A0CB1"/>
        </w:tc>
        <w:tc>
          <w:tcPr>
            <w:tcW w:w="4148" w:type="dxa"/>
          </w:tcPr>
          <w:p w14:paraId="79FD47E2" w14:textId="77777777" w:rsidR="000A0CB1" w:rsidRDefault="00B14369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0A0CB1" w:rsidRDefault="00B14369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0A0CB1" w:rsidRDefault="00B14369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44B793B6" w:rsidR="000A0CB1" w:rsidRDefault="00B14369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 编号：2026-00</w:t>
      </w:r>
      <w:r w:rsidR="00885FE2">
        <w:rPr>
          <w:rStyle w:val="NormalCharacter"/>
          <w:rFonts w:ascii="宋体" w:hAnsi="宋体"/>
          <w:bCs/>
          <w:iCs/>
          <w:sz w:val="24"/>
        </w:rPr>
        <w:t>4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0A0CB1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0A0CB1" w:rsidRDefault="000A0CB1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3F2B8490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 w:rsidR="00A53B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bookmarkStart w:id="0" w:name="OLE_LINK1"/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0"/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0389636E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A53B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00E06335" w:rsidR="000A0CB1" w:rsidRDefault="00E44277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 w:rsidR="00B14369">
              <w:rPr>
                <w:rStyle w:val="NormalCharacter"/>
                <w:rFonts w:ascii="宋体" w:hAnsi="宋体"/>
                <w:sz w:val="24"/>
              </w:rPr>
              <w:t>现场参观</w:t>
            </w:r>
            <w:r w:rsidR="00B14369"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bookmarkStart w:id="1" w:name="OLE_LINK2"/>
            <w:r w:rsidR="00B14369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1"/>
            <w:r w:rsidR="00B14369">
              <w:rPr>
                <w:rStyle w:val="NormalCharacter"/>
                <w:rFonts w:ascii="宋体" w:hAnsi="宋体"/>
                <w:sz w:val="24"/>
              </w:rPr>
              <w:t>其他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0A0CB1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1BCCF2D7" w:rsidR="000A0CB1" w:rsidRDefault="00B14369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参与机构与人数：</w:t>
            </w:r>
            <w:r w:rsidR="00885FE2">
              <w:rPr>
                <w:rFonts w:ascii="宋体" w:hAnsi="宋体" w:hint="eastAsia"/>
                <w:bCs/>
                <w:sz w:val="24"/>
                <w:szCs w:val="22"/>
              </w:rPr>
              <w:t>中信建投、国泰海通、新华资产、景顺长城、嘉实基金、长江养老、中欧基金、万家基金、</w:t>
            </w:r>
            <w:proofErr w:type="gramStart"/>
            <w:r w:rsidR="00885FE2">
              <w:rPr>
                <w:rFonts w:ascii="宋体" w:hAnsi="宋体" w:hint="eastAsia"/>
                <w:bCs/>
                <w:sz w:val="24"/>
                <w:szCs w:val="22"/>
              </w:rPr>
              <w:t>国投瑞银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2"/>
              </w:rPr>
              <w:t>等机构的</w:t>
            </w:r>
            <w:r w:rsidR="005831D8">
              <w:rPr>
                <w:rFonts w:ascii="宋体" w:hAnsi="宋体" w:hint="eastAsia"/>
                <w:bCs/>
                <w:sz w:val="24"/>
                <w:szCs w:val="22"/>
              </w:rPr>
              <w:t>5</w:t>
            </w:r>
            <w:r w:rsidR="00390461">
              <w:rPr>
                <w:rFonts w:ascii="宋体" w:hAnsi="宋体"/>
                <w:bCs/>
                <w:sz w:val="24"/>
                <w:szCs w:val="22"/>
              </w:rPr>
              <w:t>7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位投资者。</w:t>
            </w:r>
          </w:p>
        </w:tc>
      </w:tr>
      <w:tr w:rsidR="000A0CB1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0A0CB1" w:rsidRDefault="00B14369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27CCC75B" w:rsidR="000A0CB1" w:rsidRDefault="00B14369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6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885FE2">
              <w:rPr>
                <w:rStyle w:val="NormalCharacter"/>
                <w:rFonts w:ascii="宋体" w:hAnsi="宋体"/>
                <w:bCs/>
                <w:iCs/>
                <w:sz w:val="24"/>
              </w:rPr>
              <w:t>4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份</w:t>
            </w:r>
          </w:p>
        </w:tc>
      </w:tr>
      <w:tr w:rsidR="000A0CB1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0A0CB1" w:rsidRDefault="00B14369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5000C61F" w:rsidR="000A0CB1" w:rsidRDefault="00885FE2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公司会议室、线上会议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等</w:t>
            </w:r>
          </w:p>
        </w:tc>
      </w:tr>
      <w:tr w:rsidR="000A0CB1" w14:paraId="3D033AE1" w14:textId="77777777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EAF2" w14:textId="7D6C081C" w:rsidR="000A0CB1" w:rsidRDefault="00654E82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公司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管理层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及经营团队、证券事务代表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等</w:t>
            </w:r>
          </w:p>
        </w:tc>
      </w:tr>
      <w:tr w:rsidR="000A0CB1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94B2" w14:textId="71BF6817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：公司</w:t>
            </w:r>
            <w:r w:rsidR="005831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商业板块新业务布局情况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484E75A9" w14:textId="5CB282A7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5831D8" w:rsidRPr="005831D8">
              <w:rPr>
                <w:rFonts w:ascii="宋体" w:hAnsi="宋体" w:cs="宋体" w:hint="eastAsia"/>
                <w:kern w:val="0"/>
                <w:sz w:val="24"/>
              </w:rPr>
              <w:t>公司持续升级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商业板块的</w:t>
            </w:r>
            <w:r w:rsidR="005831D8" w:rsidRPr="005831D8">
              <w:rPr>
                <w:rFonts w:ascii="宋体" w:hAnsi="宋体" w:cs="宋体" w:hint="eastAsia"/>
                <w:kern w:val="0"/>
                <w:sz w:val="24"/>
              </w:rPr>
              <w:t>全产业</w:t>
            </w:r>
            <w:proofErr w:type="gramStart"/>
            <w:r w:rsidR="005831D8" w:rsidRPr="005831D8">
              <w:rPr>
                <w:rFonts w:ascii="宋体" w:hAnsi="宋体" w:cs="宋体" w:hint="eastAsia"/>
                <w:kern w:val="0"/>
                <w:sz w:val="24"/>
              </w:rPr>
              <w:t>链综合</w:t>
            </w:r>
            <w:proofErr w:type="gramEnd"/>
            <w:r w:rsidR="005831D8" w:rsidRPr="005831D8">
              <w:rPr>
                <w:rFonts w:ascii="宋体" w:hAnsi="宋体" w:cs="宋体" w:hint="eastAsia"/>
                <w:kern w:val="0"/>
                <w:sz w:val="24"/>
              </w:rPr>
              <w:t>服务能力，深耕细分赛道、搭建专业化运营平台，进一步赋能上下游合作伙伴。在创新药业务、</w:t>
            </w:r>
            <w:proofErr w:type="gramStart"/>
            <w:r w:rsidR="005831D8" w:rsidRPr="005831D8">
              <w:rPr>
                <w:rFonts w:ascii="宋体" w:hAnsi="宋体" w:cs="宋体" w:hint="eastAsia"/>
                <w:kern w:val="0"/>
                <w:sz w:val="24"/>
              </w:rPr>
              <w:t>进口总代</w:t>
            </w:r>
            <w:proofErr w:type="gramEnd"/>
            <w:r w:rsidR="005831D8" w:rsidRPr="005831D8">
              <w:rPr>
                <w:rFonts w:ascii="宋体" w:hAnsi="宋体" w:cs="宋体" w:hint="eastAsia"/>
                <w:kern w:val="0"/>
                <w:sz w:val="24"/>
              </w:rPr>
              <w:t>业务、器械大健康业务和CSO等创新业务上，公司商业核心竞争力持续夯实，整体经营业绩稳步提升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。2</w:t>
            </w:r>
            <w:r w:rsidR="00C6565B">
              <w:rPr>
                <w:rFonts w:ascii="宋体" w:hAnsi="宋体" w:cs="宋体"/>
                <w:kern w:val="0"/>
                <w:sz w:val="24"/>
              </w:rPr>
              <w:t>026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年第一季度C</w:t>
            </w:r>
            <w:r w:rsidR="00C6565B">
              <w:rPr>
                <w:rFonts w:ascii="宋体" w:hAnsi="宋体" w:cs="宋体"/>
                <w:kern w:val="0"/>
                <w:sz w:val="24"/>
              </w:rPr>
              <w:t>SO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业务新承接7个品种的商业化合作；创新</w:t>
            </w:r>
            <w:proofErr w:type="gramStart"/>
            <w:r w:rsidR="00C6565B">
              <w:rPr>
                <w:rFonts w:ascii="宋体" w:hAnsi="宋体" w:cs="宋体" w:hint="eastAsia"/>
                <w:kern w:val="0"/>
                <w:sz w:val="24"/>
              </w:rPr>
              <w:t>药业务</w:t>
            </w:r>
            <w:proofErr w:type="gramEnd"/>
            <w:r w:rsidR="00C6565B">
              <w:rPr>
                <w:rFonts w:ascii="宋体" w:hAnsi="宋体" w:cs="宋体" w:hint="eastAsia"/>
                <w:kern w:val="0"/>
                <w:sz w:val="24"/>
              </w:rPr>
              <w:t>实现销售收入超过1</w:t>
            </w:r>
            <w:r w:rsidR="00C6565B">
              <w:rPr>
                <w:rFonts w:ascii="宋体" w:hAnsi="宋体" w:cs="宋体"/>
                <w:kern w:val="0"/>
                <w:sz w:val="24"/>
              </w:rPr>
              <w:t>70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亿元，同比增长超3</w:t>
            </w:r>
            <w:r w:rsidR="00C6565B">
              <w:rPr>
                <w:rFonts w:ascii="宋体" w:hAnsi="宋体" w:cs="宋体"/>
                <w:kern w:val="0"/>
                <w:sz w:val="24"/>
              </w:rPr>
              <w:t>6%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；</w:t>
            </w:r>
            <w:proofErr w:type="gramStart"/>
            <w:r w:rsidR="00C6565B">
              <w:rPr>
                <w:rFonts w:ascii="宋体" w:hAnsi="宋体" w:cs="宋体" w:hint="eastAsia"/>
                <w:kern w:val="0"/>
                <w:sz w:val="24"/>
              </w:rPr>
              <w:t>进口总代</w:t>
            </w:r>
            <w:proofErr w:type="gramEnd"/>
            <w:r w:rsidR="00C6565B">
              <w:rPr>
                <w:rFonts w:ascii="宋体" w:hAnsi="宋体" w:cs="宋体" w:hint="eastAsia"/>
                <w:kern w:val="0"/>
                <w:sz w:val="24"/>
              </w:rPr>
              <w:t>业务实现销售收入过百亿元，同比增长超1</w:t>
            </w:r>
            <w:r w:rsidR="00C6565B">
              <w:rPr>
                <w:rFonts w:ascii="宋体" w:hAnsi="宋体" w:cs="宋体"/>
                <w:kern w:val="0"/>
                <w:sz w:val="24"/>
              </w:rPr>
              <w:t>6%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；器械大健康业务实现销售收入超1</w:t>
            </w:r>
            <w:r w:rsidR="00C6565B">
              <w:rPr>
                <w:rFonts w:ascii="宋体" w:hAnsi="宋体" w:cs="宋体"/>
                <w:kern w:val="0"/>
                <w:sz w:val="24"/>
              </w:rPr>
              <w:t>10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亿元，同比增长超7</w:t>
            </w:r>
            <w:r w:rsidR="00C6565B">
              <w:rPr>
                <w:rFonts w:ascii="宋体" w:hAnsi="宋体" w:cs="宋体"/>
                <w:kern w:val="0"/>
                <w:sz w:val="24"/>
              </w:rPr>
              <w:t>%</w:t>
            </w:r>
            <w:r w:rsidR="005831D8" w:rsidRPr="005831D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3CC52AAC" w14:textId="77777777" w:rsidR="000A0CB1" w:rsidRDefault="000A0CB1">
            <w:pPr>
              <w:spacing w:line="276" w:lineRule="auto"/>
              <w:jc w:val="left"/>
            </w:pPr>
          </w:p>
          <w:p w14:paraId="21FE6A0E" w14:textId="1EE382F1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</w:t>
            </w:r>
            <w:r w:rsidR="00C6565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研发管线布局与进展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383756CE" w14:textId="63B944EF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截至2</w:t>
            </w:r>
            <w:r w:rsidR="00C6565B">
              <w:rPr>
                <w:rFonts w:ascii="宋体" w:hAnsi="宋体" w:cs="宋体"/>
                <w:kern w:val="0"/>
                <w:sz w:val="24"/>
              </w:rPr>
              <w:t>026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年第一季度，公司</w:t>
            </w:r>
            <w:r w:rsidR="00C6565B" w:rsidRPr="00C6565B">
              <w:rPr>
                <w:rFonts w:ascii="宋体" w:hAnsi="宋体" w:cs="宋体" w:hint="eastAsia"/>
                <w:kern w:val="0"/>
                <w:sz w:val="24"/>
              </w:rPr>
              <w:t>临床申请获得受理及进入后续临床研究阶段的新药管线已有59项，其中创新药47项，改良型新药12项</w:t>
            </w:r>
            <w:r w:rsidR="00C6565B">
              <w:rPr>
                <w:rFonts w:ascii="宋体" w:hAnsi="宋体" w:cs="宋体" w:hint="eastAsia"/>
                <w:kern w:val="0"/>
                <w:sz w:val="24"/>
              </w:rPr>
              <w:t>，各项管线均有序推进中。其中，</w:t>
            </w:r>
            <w:r w:rsidR="005C51BA" w:rsidRPr="005C51BA">
              <w:rPr>
                <w:rFonts w:ascii="宋体" w:hAnsi="宋体" w:cs="宋体" w:hint="eastAsia"/>
                <w:kern w:val="0"/>
                <w:sz w:val="24"/>
              </w:rPr>
              <w:t>B001项目用于治疗视神经脊髓炎（NMOSD）的III期临床试验主研究（RCP）已完成揭盲。研究结果显示，B001较安慰剂可显著降低AQP4-IgG阳性NMOSD的复发风</w:t>
            </w:r>
            <w:r w:rsidR="005C51BA" w:rsidRPr="005C51BA">
              <w:rPr>
                <w:rFonts w:ascii="宋体" w:hAnsi="宋体" w:cs="宋体" w:hint="eastAsia"/>
                <w:kern w:val="0"/>
                <w:sz w:val="24"/>
              </w:rPr>
              <w:lastRenderedPageBreak/>
              <w:t>险；并且B001较已获批同类药物具备更好的安全性，输液相关不良反应、感染相关不良反应、免疫球蛋白降低和血液学相关不良反应的发生率均更低。</w:t>
            </w:r>
            <w:r w:rsidR="005C51BA">
              <w:rPr>
                <w:rFonts w:ascii="宋体" w:hAnsi="宋体" w:cs="宋体" w:hint="eastAsia"/>
                <w:kern w:val="0"/>
                <w:sz w:val="24"/>
              </w:rPr>
              <w:t>参</w:t>
            </w:r>
            <w:proofErr w:type="gramStart"/>
            <w:r w:rsidR="005C51BA">
              <w:rPr>
                <w:rFonts w:ascii="宋体" w:hAnsi="宋体" w:cs="宋体" w:hint="eastAsia"/>
                <w:kern w:val="0"/>
                <w:sz w:val="24"/>
              </w:rPr>
              <w:t>芪麝</w:t>
            </w:r>
            <w:proofErr w:type="gramEnd"/>
            <w:r w:rsidR="005C51BA">
              <w:rPr>
                <w:rFonts w:ascii="宋体" w:hAnsi="宋体" w:cs="宋体" w:hint="eastAsia"/>
                <w:kern w:val="0"/>
                <w:sz w:val="24"/>
              </w:rPr>
              <w:t>蓉</w:t>
            </w:r>
            <w:proofErr w:type="gramStart"/>
            <w:r w:rsidR="005C51BA">
              <w:rPr>
                <w:rFonts w:ascii="宋体" w:hAnsi="宋体" w:cs="宋体" w:hint="eastAsia"/>
                <w:kern w:val="0"/>
                <w:sz w:val="24"/>
              </w:rPr>
              <w:t>丸</w:t>
            </w:r>
            <w:r w:rsidR="005C51BA" w:rsidRPr="005C51BA">
              <w:rPr>
                <w:rFonts w:ascii="宋体" w:hAnsi="宋体" w:cs="宋体" w:hint="eastAsia"/>
                <w:kern w:val="0"/>
                <w:sz w:val="24"/>
              </w:rPr>
              <w:t>项目</w:t>
            </w:r>
            <w:proofErr w:type="gramEnd"/>
            <w:r w:rsidR="005C51BA" w:rsidRPr="005C51BA">
              <w:rPr>
                <w:rFonts w:ascii="宋体" w:hAnsi="宋体" w:cs="宋体" w:hint="eastAsia"/>
                <w:kern w:val="0"/>
                <w:sz w:val="24"/>
              </w:rPr>
              <w:t>在III期临床试验全部受试者出组的基础上，已完成数据整理、数据审核和数据锁定。</w:t>
            </w:r>
          </w:p>
          <w:p w14:paraId="3933ECDA" w14:textId="77777777" w:rsidR="000A0CB1" w:rsidRDefault="000A0CB1">
            <w:pPr>
              <w:spacing w:line="276" w:lineRule="auto"/>
              <w:jc w:val="left"/>
            </w:pPr>
          </w:p>
          <w:p w14:paraId="18123007" w14:textId="23F0870A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3C3AA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公司商业板块对于应收账款的管理策略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0CC9454D" w14:textId="635FD3AD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3C3AAB" w:rsidRPr="003C3AAB">
              <w:rPr>
                <w:rFonts w:ascii="宋体" w:hAnsi="宋体" w:cs="宋体" w:hint="eastAsia"/>
                <w:kern w:val="0"/>
                <w:sz w:val="24"/>
              </w:rPr>
              <w:t>公司将应收账款精细</w:t>
            </w:r>
            <w:proofErr w:type="gramStart"/>
            <w:r w:rsidR="003C3AAB" w:rsidRPr="003C3AAB">
              <w:rPr>
                <w:rFonts w:ascii="宋体" w:hAnsi="宋体" w:cs="宋体" w:hint="eastAsia"/>
                <w:kern w:val="0"/>
                <w:sz w:val="24"/>
              </w:rPr>
              <w:t>化治理</w:t>
            </w:r>
            <w:proofErr w:type="gramEnd"/>
            <w:r w:rsidR="003C3AAB" w:rsidRPr="003C3AAB">
              <w:rPr>
                <w:rFonts w:ascii="宋体" w:hAnsi="宋体" w:cs="宋体" w:hint="eastAsia"/>
                <w:kern w:val="0"/>
                <w:sz w:val="24"/>
              </w:rPr>
              <w:t>列为核心经营工作，重点聚焦一年以上应收账款压降，强化超长账款的征收</w:t>
            </w:r>
            <w:r w:rsidR="003C3AAB">
              <w:rPr>
                <w:rFonts w:ascii="宋体" w:hAnsi="宋体" w:cs="宋体" w:hint="eastAsia"/>
                <w:kern w:val="0"/>
                <w:sz w:val="24"/>
              </w:rPr>
              <w:t>管理</w:t>
            </w:r>
            <w:r w:rsidR="003C3AAB" w:rsidRPr="003C3AAB">
              <w:rPr>
                <w:rFonts w:ascii="宋体" w:hAnsi="宋体" w:cs="宋体" w:hint="eastAsia"/>
                <w:kern w:val="0"/>
                <w:sz w:val="24"/>
              </w:rPr>
              <w:t>。未来公司将持续</w:t>
            </w:r>
            <w:proofErr w:type="gramStart"/>
            <w:r w:rsidR="003C3AAB" w:rsidRPr="003C3AAB">
              <w:rPr>
                <w:rFonts w:ascii="宋体" w:hAnsi="宋体" w:cs="宋体" w:hint="eastAsia"/>
                <w:kern w:val="0"/>
                <w:sz w:val="24"/>
              </w:rPr>
              <w:t>关注长账龄医院</w:t>
            </w:r>
            <w:proofErr w:type="gramEnd"/>
            <w:r w:rsidR="003C3AAB" w:rsidRPr="003C3AAB">
              <w:rPr>
                <w:rFonts w:ascii="宋体" w:hAnsi="宋体" w:cs="宋体" w:hint="eastAsia"/>
                <w:kern w:val="0"/>
                <w:sz w:val="24"/>
              </w:rPr>
              <w:t>及商业客户的回款动态，针对回款风险较高的客户制定专项应收账款安全保障举措，明确回款节点、压实回款责任，不断提升自身抗风险能力与营运效率。</w:t>
            </w:r>
          </w:p>
          <w:p w14:paraId="53CFA491" w14:textId="77777777" w:rsidR="000A0CB1" w:rsidRDefault="000A0CB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EE0E056" w14:textId="5FF443CE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D64C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公司新药商业化进展如何？</w:t>
            </w:r>
          </w:p>
          <w:p w14:paraId="0152FD59" w14:textId="20919375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公司旗下1类新药</w:t>
            </w:r>
            <w:proofErr w:type="gramStart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苹果酸司妥吉仑</w:t>
            </w:r>
            <w:proofErr w:type="gramEnd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片（</w:t>
            </w:r>
            <w:proofErr w:type="gramStart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信妥安</w:t>
            </w:r>
            <w:proofErr w:type="gramEnd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®）和改良型新药氨</w:t>
            </w:r>
            <w:proofErr w:type="gramStart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磺</w:t>
            </w:r>
            <w:proofErr w:type="gramEnd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必利口崩片（奥思安®）均已实现首张处方开具，并扎实推进后续商业化工作。其中，奥思安®已完成全国价格挂网并实现销售；</w:t>
            </w:r>
            <w:proofErr w:type="gramStart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信妥安</w:t>
            </w:r>
            <w:proofErr w:type="gramEnd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®则在推进全国价格挂网的同时，在多个省份实现落地销售并完成线</w:t>
            </w:r>
            <w:proofErr w:type="gramStart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上渠道</w:t>
            </w:r>
            <w:proofErr w:type="gramEnd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首发。</w:t>
            </w:r>
          </w:p>
          <w:p w14:paraId="64055411" w14:textId="77777777" w:rsidR="000A0CB1" w:rsidRDefault="000A0CB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52F9167" w14:textId="21811281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D64C28" w:rsidRPr="00D64C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公司如何保持</w:t>
            </w:r>
            <w:r w:rsidR="00D64C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财务情况</w:t>
            </w:r>
            <w:r w:rsidR="00D64C28" w:rsidRPr="00D64C2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的健康稳健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2B176AC0" w14:textId="555A7ED3" w:rsidR="000A0CB1" w:rsidRDefault="00B14369" w:rsidP="00D64C28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公司始终高度重视现金</w:t>
            </w:r>
            <w:proofErr w:type="gramStart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流安全</w:t>
            </w:r>
            <w:proofErr w:type="gramEnd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与资产负债结构优化，坚持审慎稳健的财务管控原则，保障公司持续健康运营。在现金流管理方面，公司坚持以经营现金流为核心，多</w:t>
            </w:r>
            <w:proofErr w:type="gramStart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措</w:t>
            </w:r>
            <w:proofErr w:type="gramEnd"/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并举筑牢资金安全底线</w:t>
            </w:r>
            <w:r w:rsidR="00D64C28">
              <w:rPr>
                <w:rFonts w:ascii="宋体" w:hAnsi="宋体" w:cs="宋体" w:hint="eastAsia"/>
                <w:kern w:val="0"/>
                <w:sz w:val="24"/>
              </w:rPr>
              <w:t>，通过</w:t>
            </w:r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强化回款全流程管控</w:t>
            </w:r>
            <w:r w:rsidR="00D64C28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严控资本开支与非必要支出</w:t>
            </w:r>
            <w:r w:rsidR="00D64C28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优化营运资本周转</w:t>
            </w:r>
            <w:r w:rsidR="00D64C28">
              <w:rPr>
                <w:rFonts w:ascii="宋体" w:hAnsi="宋体" w:cs="宋体" w:hint="eastAsia"/>
                <w:kern w:val="0"/>
                <w:sz w:val="24"/>
              </w:rPr>
              <w:t>等策略保证现金流的健康周转。</w:t>
            </w:r>
            <w:r w:rsidR="00D64C28" w:rsidRPr="00D64C28">
              <w:rPr>
                <w:rFonts w:ascii="宋体" w:hAnsi="宋体" w:cs="宋体" w:hint="eastAsia"/>
                <w:kern w:val="0"/>
                <w:sz w:val="24"/>
              </w:rPr>
              <w:t>在资产负债率与财务费用管控方面，公司持续优化融资结构与资金使用效率，2025年资产负债率较2024年有所下降，财务费用同比进一步降低。未来，公司将继续严控债务规模、优化资本结构，保持资产负债率与融资成本处于稳健合理区间，持续提升现金流质量与财务抗风险能力，切实维护全体股东利益。</w:t>
            </w:r>
          </w:p>
        </w:tc>
      </w:tr>
      <w:tr w:rsidR="000A0CB1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0A0CB1" w:rsidRDefault="00B14369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0A0CB1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0A0CB1" w:rsidRDefault="00B14369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</w:t>
            </w:r>
            <w:proofErr w:type="gramStart"/>
            <w:r>
              <w:rPr>
                <w:rFonts w:hint="eastAsia"/>
                <w:sz w:val="24"/>
              </w:rPr>
              <w:t>遵守信披</w:t>
            </w:r>
            <w:proofErr w:type="gramEnd"/>
            <w:r>
              <w:rPr>
                <w:rFonts w:hint="eastAsia"/>
                <w:sz w:val="24"/>
              </w:rPr>
              <w:t>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0A0CB1" w:rsidRDefault="000A0CB1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0A0CB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CD58" w14:textId="77777777" w:rsidR="00B83D45" w:rsidRDefault="00B83D45">
      <w:r>
        <w:separator/>
      </w:r>
    </w:p>
  </w:endnote>
  <w:endnote w:type="continuationSeparator" w:id="0">
    <w:p w14:paraId="7C32012E" w14:textId="77777777" w:rsidR="00B83D45" w:rsidRDefault="00B8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0A0CB1" w:rsidRDefault="000A0CB1">
    <w:pPr>
      <w:pStyle w:val="a9"/>
      <w:framePr w:wrap="around" w:hAnchor="text" w:xAlign="center" w:y="1"/>
      <w:rPr>
        <w:rStyle w:val="PageNumber"/>
      </w:rPr>
    </w:pPr>
  </w:p>
  <w:p w14:paraId="7914E9DE" w14:textId="77777777" w:rsidR="000A0CB1" w:rsidRDefault="000A0CB1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0A0CB1" w:rsidRDefault="00B1436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098BCA03" w14:textId="77777777" w:rsidR="000A0CB1" w:rsidRDefault="000A0CB1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9F71" w14:textId="77777777" w:rsidR="00B83D45" w:rsidRDefault="00B83D45">
      <w:r>
        <w:separator/>
      </w:r>
    </w:p>
  </w:footnote>
  <w:footnote w:type="continuationSeparator" w:id="0">
    <w:p w14:paraId="056B977F" w14:textId="77777777" w:rsidR="00B83D45" w:rsidRDefault="00B8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0A0CB1" w:rsidRDefault="000A0CB1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106BF"/>
    <w:rsid w:val="000176D7"/>
    <w:rsid w:val="00043366"/>
    <w:rsid w:val="000767B8"/>
    <w:rsid w:val="000867C7"/>
    <w:rsid w:val="00095809"/>
    <w:rsid w:val="000A0CB1"/>
    <w:rsid w:val="000C281C"/>
    <w:rsid w:val="000C74D8"/>
    <w:rsid w:val="000E1D70"/>
    <w:rsid w:val="001221D9"/>
    <w:rsid w:val="001273E4"/>
    <w:rsid w:val="0015162D"/>
    <w:rsid w:val="00162E1B"/>
    <w:rsid w:val="001B7189"/>
    <w:rsid w:val="001C5440"/>
    <w:rsid w:val="00223D7B"/>
    <w:rsid w:val="00233822"/>
    <w:rsid w:val="00263447"/>
    <w:rsid w:val="00292E82"/>
    <w:rsid w:val="002B2DFE"/>
    <w:rsid w:val="002B58AA"/>
    <w:rsid w:val="002B65B4"/>
    <w:rsid w:val="002C6B79"/>
    <w:rsid w:val="002F7159"/>
    <w:rsid w:val="00307DBE"/>
    <w:rsid w:val="00321F3A"/>
    <w:rsid w:val="00327A2B"/>
    <w:rsid w:val="003452E5"/>
    <w:rsid w:val="00346511"/>
    <w:rsid w:val="00380974"/>
    <w:rsid w:val="00390461"/>
    <w:rsid w:val="003A2CB1"/>
    <w:rsid w:val="003C3AAB"/>
    <w:rsid w:val="003C767A"/>
    <w:rsid w:val="003D4770"/>
    <w:rsid w:val="003E6A30"/>
    <w:rsid w:val="003F54AA"/>
    <w:rsid w:val="0049785A"/>
    <w:rsid w:val="004C3851"/>
    <w:rsid w:val="004E2C16"/>
    <w:rsid w:val="004E500B"/>
    <w:rsid w:val="00506348"/>
    <w:rsid w:val="005064E8"/>
    <w:rsid w:val="0051714D"/>
    <w:rsid w:val="00545187"/>
    <w:rsid w:val="005831D8"/>
    <w:rsid w:val="005B0843"/>
    <w:rsid w:val="005B2473"/>
    <w:rsid w:val="005C51BA"/>
    <w:rsid w:val="005D37C3"/>
    <w:rsid w:val="005E5816"/>
    <w:rsid w:val="005F66A3"/>
    <w:rsid w:val="00654E82"/>
    <w:rsid w:val="00670FF2"/>
    <w:rsid w:val="0068469E"/>
    <w:rsid w:val="006B0979"/>
    <w:rsid w:val="006C7D17"/>
    <w:rsid w:val="00701239"/>
    <w:rsid w:val="00720FD7"/>
    <w:rsid w:val="007220FC"/>
    <w:rsid w:val="00722D51"/>
    <w:rsid w:val="0073265E"/>
    <w:rsid w:val="00733A5A"/>
    <w:rsid w:val="00735B26"/>
    <w:rsid w:val="0074282E"/>
    <w:rsid w:val="00745663"/>
    <w:rsid w:val="007554F2"/>
    <w:rsid w:val="00756FF9"/>
    <w:rsid w:val="00881D7A"/>
    <w:rsid w:val="00885FE2"/>
    <w:rsid w:val="00962079"/>
    <w:rsid w:val="0097541E"/>
    <w:rsid w:val="009762B3"/>
    <w:rsid w:val="00A20F79"/>
    <w:rsid w:val="00A2283F"/>
    <w:rsid w:val="00A31E51"/>
    <w:rsid w:val="00A40C32"/>
    <w:rsid w:val="00A53B84"/>
    <w:rsid w:val="00A8351D"/>
    <w:rsid w:val="00A86522"/>
    <w:rsid w:val="00A934AA"/>
    <w:rsid w:val="00AA0D98"/>
    <w:rsid w:val="00AB4FB7"/>
    <w:rsid w:val="00AC2889"/>
    <w:rsid w:val="00AC3736"/>
    <w:rsid w:val="00AD36AC"/>
    <w:rsid w:val="00AF09C3"/>
    <w:rsid w:val="00B14369"/>
    <w:rsid w:val="00B52F84"/>
    <w:rsid w:val="00B60FF5"/>
    <w:rsid w:val="00B83D45"/>
    <w:rsid w:val="00BA0014"/>
    <w:rsid w:val="00BA1E4C"/>
    <w:rsid w:val="00BB2E68"/>
    <w:rsid w:val="00BD4000"/>
    <w:rsid w:val="00BE31D8"/>
    <w:rsid w:val="00C14789"/>
    <w:rsid w:val="00C242EB"/>
    <w:rsid w:val="00C36353"/>
    <w:rsid w:val="00C6565B"/>
    <w:rsid w:val="00CA1744"/>
    <w:rsid w:val="00CA3A36"/>
    <w:rsid w:val="00CB5C96"/>
    <w:rsid w:val="00CB7D45"/>
    <w:rsid w:val="00CE08CC"/>
    <w:rsid w:val="00D2297A"/>
    <w:rsid w:val="00D33D69"/>
    <w:rsid w:val="00D61FE4"/>
    <w:rsid w:val="00D642F8"/>
    <w:rsid w:val="00D64C28"/>
    <w:rsid w:val="00D73FC5"/>
    <w:rsid w:val="00D868F4"/>
    <w:rsid w:val="00D92A51"/>
    <w:rsid w:val="00DA6E11"/>
    <w:rsid w:val="00DB4A2B"/>
    <w:rsid w:val="00E02835"/>
    <w:rsid w:val="00E1629C"/>
    <w:rsid w:val="00E44277"/>
    <w:rsid w:val="00E47BCF"/>
    <w:rsid w:val="00E81462"/>
    <w:rsid w:val="00E905C1"/>
    <w:rsid w:val="00EE63EC"/>
    <w:rsid w:val="00F01F02"/>
    <w:rsid w:val="00F02F49"/>
    <w:rsid w:val="00F04AE7"/>
    <w:rsid w:val="00F12697"/>
    <w:rsid w:val="00F23045"/>
    <w:rsid w:val="00F24DF8"/>
    <w:rsid w:val="00F61DCD"/>
    <w:rsid w:val="00F871BE"/>
    <w:rsid w:val="00F93F41"/>
    <w:rsid w:val="00FB1E69"/>
    <w:rsid w:val="00FC1FA4"/>
    <w:rsid w:val="00FC4A73"/>
    <w:rsid w:val="00FE16D0"/>
    <w:rsid w:val="00FF19BD"/>
    <w:rsid w:val="2B74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27EF7"/>
  <w15:docId w15:val="{65A247D7-5A69-4452-83C6-8A192A7D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customStyle="1" w:styleId="40">
    <w:name w:val="修订4"/>
    <w:uiPriority w:val="99"/>
    <w:qFormat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C471-B316-432E-AE28-B268D7A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237</Words>
  <Characters>1352</Characters>
  <Application>Microsoft Office Word</Application>
  <DocSecurity>0</DocSecurity>
  <Lines>11</Lines>
  <Paragraphs>3</Paragraphs>
  <ScaleCrop>false</ScaleCrop>
  <Company>SPH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王梓安</cp:lastModifiedBy>
  <cp:revision>6</cp:revision>
  <cp:lastPrinted>2026-02-27T02:58:00Z</cp:lastPrinted>
  <dcterms:created xsi:type="dcterms:W3CDTF">2026-04-30T08:44:00Z</dcterms:created>
  <dcterms:modified xsi:type="dcterms:W3CDTF">2026-05-06T06:19:00Z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9887587360EC4A7BA9395DE43D7FACA0_13</vt:lpwstr>
  </property>
  <property fmtid="{D5CDD505-2E9C-101B-9397-08002B2CF9AE}" pid="4" name="KSOTemplateDocerSaveRecord">
    <vt:lpwstr>eyJoZGlkIjoiZjkyMTkyOTY2M2JkNTY4ZThkNTA2NmRjZWI3OWUxMzIiLCJ1c2VySWQiOiIxNzMyNzYwMjE0In0=</vt:lpwstr>
  </property>
</Properties>
</file>