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CF31">
      <w:pPr>
        <w:spacing w:before="31" w:beforeLines="10" w:line="360" w:lineRule="auto"/>
        <w:rPr>
          <w:rFonts w:ascii="Times New Roman" w:hAnsi="Times New Roman"/>
          <w:bCs/>
          <w:sz w:val="24"/>
        </w:rPr>
      </w:pPr>
      <w:bookmarkStart w:id="1" w:name="_GoBack"/>
      <w:bookmarkEnd w:id="1"/>
      <w:r>
        <w:rPr>
          <w:rFonts w:ascii="Times New Roman" w:hAnsi="Times New Roman"/>
          <w:bCs/>
          <w:sz w:val="24"/>
        </w:rPr>
        <w:t>证券简称</w:t>
      </w:r>
      <w:r>
        <w:rPr>
          <w:rFonts w:hint="eastAsia" w:ascii="Times New Roman" w:hAnsi="Times New Roman"/>
          <w:bCs/>
          <w:sz w:val="24"/>
        </w:rPr>
        <w:t>：</w:t>
      </w:r>
      <w:r>
        <w:rPr>
          <w:rFonts w:ascii="Times New Roman" w:hAnsi="Times New Roman"/>
          <w:bCs/>
          <w:sz w:val="24"/>
        </w:rPr>
        <w:t>兴通股份                                        证券代码：603209</w:t>
      </w:r>
    </w:p>
    <w:p w14:paraId="737B8EE6">
      <w:pPr>
        <w:spacing w:before="31" w:beforeLines="10" w:line="360" w:lineRule="auto"/>
        <w:jc w:val="center"/>
        <w:rPr>
          <w:rFonts w:ascii="Times New Roman" w:hAnsi="Times New Roman"/>
          <w:b/>
          <w:w w:val="95"/>
          <w:sz w:val="32"/>
          <w:szCs w:val="32"/>
        </w:rPr>
      </w:pPr>
    </w:p>
    <w:p w14:paraId="0FFDF0BE">
      <w:pPr>
        <w:spacing w:before="31" w:beforeLines="1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兴通海运股份有限公司</w:t>
      </w:r>
    </w:p>
    <w:p w14:paraId="334B950C">
      <w:pPr>
        <w:spacing w:line="360" w:lineRule="auto"/>
        <w:jc w:val="center"/>
        <w:rPr>
          <w:rFonts w:ascii="Times New Roman" w:hAnsi="Times New Roman"/>
          <w:b/>
          <w:kern w:val="0"/>
          <w:sz w:val="36"/>
          <w:szCs w:val="36"/>
        </w:rPr>
      </w:pPr>
      <w:bookmarkStart w:id="0" w:name="OLE_LINK1"/>
      <w:r>
        <w:rPr>
          <w:rFonts w:ascii="Times New Roman" w:hAnsi="Times New Roman"/>
          <w:b/>
          <w:kern w:val="0"/>
          <w:sz w:val="36"/>
          <w:szCs w:val="36"/>
        </w:rPr>
        <w:t>投资者关系活动记录表</w:t>
      </w:r>
    </w:p>
    <w:bookmarkEnd w:id="0"/>
    <w:p w14:paraId="48975354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编号：</w:t>
      </w:r>
      <w:r>
        <w:rPr>
          <w:rFonts w:hint="eastAsia" w:ascii="Times New Roman" w:hAnsi="Times New Roman"/>
          <w:sz w:val="24"/>
        </w:rPr>
        <w:t>2026-001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 w14:paraId="2CC63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EE01">
            <w:pPr>
              <w:spacing w:before="156" w:beforeLines="50" w:after="156" w:afterLines="5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BE8A1F">
            <w:pPr>
              <w:widowControl/>
              <w:tabs>
                <w:tab w:val="left" w:pos="3480"/>
              </w:tabs>
              <w:spacing w:before="156" w:beforeLines="50" w:after="156" w:afterLines="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>特定对象调研   □分析师会议      □媒体采访</w:t>
            </w:r>
          </w:p>
          <w:p w14:paraId="084B8793">
            <w:pPr>
              <w:widowControl/>
              <w:tabs>
                <w:tab w:val="left" w:pos="2040"/>
                <w:tab w:val="left" w:pos="3480"/>
              </w:tabs>
              <w:spacing w:before="156" w:beforeLines="50" w:after="156" w:afterLines="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☑</w:t>
            </w:r>
            <w:r>
              <w:rPr>
                <w:rFonts w:ascii="Times New Roman" w:hAnsi="Times New Roman"/>
                <w:bCs/>
                <w:sz w:val="24"/>
              </w:rPr>
              <w:t xml:space="preserve">业绩说明会     □新闻发布会      </w:t>
            </w:r>
            <w:r>
              <w:rPr>
                <w:rFonts w:hint="eastAsia" w:ascii="Times New Roman" w:hAnsi="Times New Roman"/>
                <w:bCs/>
                <w:sz w:val="24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>路演活动</w:t>
            </w:r>
          </w:p>
          <w:p w14:paraId="7C76FED2">
            <w:pPr>
              <w:spacing w:before="156" w:beforeLines="50" w:after="156" w:afterLines="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 xml:space="preserve">现场参观       □一对一沟通      </w:t>
            </w:r>
            <w:r>
              <w:rPr>
                <w:rFonts w:hint="eastAsia" w:ascii="Times New Roman" w:hAnsi="Times New Roman"/>
                <w:bCs/>
                <w:sz w:val="24"/>
              </w:rPr>
              <w:t>□</w:t>
            </w:r>
            <w:r>
              <w:rPr>
                <w:rFonts w:ascii="Times New Roman" w:hAnsi="Times New Roman"/>
                <w:bCs/>
                <w:sz w:val="24"/>
              </w:rPr>
              <w:t>其他（电话会议）</w:t>
            </w:r>
          </w:p>
        </w:tc>
      </w:tr>
      <w:tr w14:paraId="63354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7E75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参与单位及人员名称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16BD39">
            <w:pPr>
              <w:spacing w:before="156" w:beforeLines="50" w:after="156" w:after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线上参与公司2025年度暨2026年第一季度业绩说明会的投资者</w:t>
            </w:r>
          </w:p>
        </w:tc>
      </w:tr>
      <w:tr w14:paraId="6755D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D8CC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1E51C9">
            <w:pPr>
              <w:spacing w:before="156" w:beforeLines="50" w:after="156" w:after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2026年4月30日</w:t>
            </w:r>
          </w:p>
        </w:tc>
      </w:tr>
      <w:tr w14:paraId="0BE63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09A8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DC1D8A">
            <w:pPr>
              <w:spacing w:before="156" w:beforeLines="50" w:after="156" w:after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东方财富路演平台</w:t>
            </w:r>
          </w:p>
        </w:tc>
      </w:tr>
      <w:tr w14:paraId="00BA2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FC8E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9620FD">
            <w:pPr>
              <w:spacing w:before="156" w:beforeLines="50" w:after="156" w:after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董事长/总经理 陈其龙先生</w:t>
            </w:r>
          </w:p>
          <w:p w14:paraId="1BD403E5">
            <w:pPr>
              <w:spacing w:before="156" w:beforeLines="50" w:after="156" w:after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副总经理/财务负责人 黄木生先生</w:t>
            </w:r>
          </w:p>
          <w:p w14:paraId="72BA0DE0">
            <w:pPr>
              <w:spacing w:before="156" w:beforeLines="50" w:after="156" w:afterLines="50" w:line="36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独立董事 李茂良先生</w:t>
            </w:r>
          </w:p>
          <w:p w14:paraId="1BA12F92">
            <w:pPr>
              <w:spacing w:before="156" w:beforeLines="50" w:after="156" w:afterLines="5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董事会秘书 柳思颖女士</w:t>
            </w:r>
          </w:p>
        </w:tc>
      </w:tr>
      <w:tr w14:paraId="18E25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6A30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48E0C4"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公司2025年度及2026年第一季度经营情况</w:t>
            </w:r>
          </w:p>
          <w:p w14:paraId="5150593D">
            <w:pPr>
              <w:numPr>
                <w:ilvl w:val="255"/>
                <w:numId w:val="0"/>
              </w:num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1、运力规模</w:t>
            </w:r>
          </w:p>
          <w:p w14:paraId="1F4CC0DC">
            <w:pPr>
              <w:numPr>
                <w:ilvl w:val="255"/>
                <w:numId w:val="0"/>
              </w:numPr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截</w:t>
            </w:r>
            <w:r>
              <w:rPr>
                <w:rFonts w:hint="eastAsia" w:ascii="Times New Roman" w:hAnsi="Times New Roman"/>
                <w:sz w:val="24"/>
              </w:rPr>
              <w:t>至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z w:val="24"/>
              </w:rPr>
              <w:t>日，公司在营</w:t>
            </w:r>
            <w:r>
              <w:rPr>
                <w:rFonts w:hint="eastAsia" w:ascii="Times New Roman" w:hAnsi="Times New Roman"/>
                <w:sz w:val="24"/>
              </w:rPr>
              <w:t>船舶共40艘，运力规模合计50.13万载重吨。其中，</w:t>
            </w:r>
            <w:r>
              <w:rPr>
                <w:rFonts w:ascii="Times New Roman" w:hAnsi="Times New Roman"/>
                <w:sz w:val="24"/>
              </w:rPr>
              <w:t>化学品船舶</w:t>
            </w:r>
            <w:r>
              <w:rPr>
                <w:rFonts w:hint="eastAsia" w:ascii="Times New Roman" w:hAnsi="Times New Roman"/>
                <w:sz w:val="24"/>
              </w:rPr>
              <w:t>34</w:t>
            </w:r>
            <w:r>
              <w:rPr>
                <w:rFonts w:ascii="Times New Roman" w:hAnsi="Times New Roman"/>
                <w:sz w:val="24"/>
              </w:rPr>
              <w:t>艘，运力规模为</w:t>
            </w:r>
            <w:r>
              <w:rPr>
                <w:rFonts w:hint="eastAsia" w:ascii="Times New Roman" w:hAnsi="Times New Roman"/>
                <w:sz w:val="24"/>
              </w:rPr>
              <w:t>43.11</w:t>
            </w:r>
            <w:r>
              <w:rPr>
                <w:rFonts w:ascii="Times New Roman" w:hAnsi="Times New Roman"/>
                <w:sz w:val="24"/>
              </w:rPr>
              <w:t>万载重吨</w:t>
            </w:r>
            <w:r>
              <w:rPr>
                <w:rFonts w:hint="eastAsia" w:ascii="Times New Roman" w:hAnsi="Times New Roman"/>
                <w:sz w:val="24"/>
              </w:rPr>
              <w:t>；</w:t>
            </w:r>
            <w:r>
              <w:rPr>
                <w:rFonts w:ascii="Times New Roman" w:hAnsi="Times New Roman"/>
                <w:sz w:val="24"/>
              </w:rPr>
              <w:t>LPG船3艘，运力规模为1.15万载重吨</w:t>
            </w:r>
            <w:r>
              <w:rPr>
                <w:rFonts w:hint="eastAsia" w:ascii="Times New Roman" w:hAnsi="Times New Roman"/>
                <w:sz w:val="24"/>
              </w:rPr>
              <w:t>；</w:t>
            </w:r>
            <w:r>
              <w:rPr>
                <w:rFonts w:ascii="Times New Roman" w:hAnsi="Times New Roman"/>
                <w:sz w:val="24"/>
              </w:rPr>
              <w:t>成品油船3艘，运力规模为5.87万载重吨。</w:t>
            </w:r>
          </w:p>
          <w:p w14:paraId="6F9068E7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截</w:t>
            </w:r>
            <w:r>
              <w:rPr>
                <w:rFonts w:hint="eastAsia" w:ascii="Times New Roman" w:hAnsi="Times New Roman"/>
                <w:sz w:val="24"/>
              </w:rPr>
              <w:t>至</w:t>
            </w: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z w:val="24"/>
              </w:rPr>
              <w:t>日，公司在营</w:t>
            </w:r>
            <w:r>
              <w:rPr>
                <w:rFonts w:hint="eastAsia" w:ascii="Times New Roman" w:hAnsi="Times New Roman"/>
                <w:sz w:val="24"/>
              </w:rPr>
              <w:t>船舶共39艘，运力规模合计48.02万载重吨。其中，</w:t>
            </w:r>
            <w:r>
              <w:rPr>
                <w:rFonts w:ascii="Times New Roman" w:hAnsi="Times New Roman"/>
                <w:sz w:val="24"/>
              </w:rPr>
              <w:t>化学品船舶</w:t>
            </w:r>
            <w:r>
              <w:rPr>
                <w:rFonts w:hint="eastAsia" w:ascii="Times New Roman" w:hAnsi="Times New Roman"/>
                <w:sz w:val="24"/>
              </w:rPr>
              <w:t>33</w:t>
            </w:r>
            <w:r>
              <w:rPr>
                <w:rFonts w:ascii="Times New Roman" w:hAnsi="Times New Roman"/>
                <w:sz w:val="24"/>
              </w:rPr>
              <w:t>艘，运力规模为</w:t>
            </w:r>
            <w:r>
              <w:rPr>
                <w:rFonts w:hint="eastAsia" w:ascii="Times New Roman" w:hAnsi="Times New Roman"/>
                <w:sz w:val="24"/>
              </w:rPr>
              <w:t>41.00</w:t>
            </w:r>
            <w:r>
              <w:rPr>
                <w:rFonts w:ascii="Times New Roman" w:hAnsi="Times New Roman"/>
                <w:sz w:val="24"/>
              </w:rPr>
              <w:t>万载重吨</w:t>
            </w:r>
            <w:r>
              <w:rPr>
                <w:rFonts w:hint="eastAsia" w:ascii="Times New Roman" w:hAnsi="Times New Roman"/>
                <w:sz w:val="24"/>
              </w:rPr>
              <w:t>；</w:t>
            </w:r>
            <w:r>
              <w:rPr>
                <w:rFonts w:ascii="Times New Roman" w:hAnsi="Times New Roman"/>
                <w:sz w:val="24"/>
              </w:rPr>
              <w:t>LPG船3艘，运力规模为1.15万载重吨</w:t>
            </w:r>
            <w:r>
              <w:rPr>
                <w:rFonts w:hint="eastAsia" w:ascii="Times New Roman" w:hAnsi="Times New Roman"/>
                <w:sz w:val="24"/>
              </w:rPr>
              <w:t>；</w:t>
            </w:r>
            <w:r>
              <w:rPr>
                <w:rFonts w:ascii="Times New Roman" w:hAnsi="Times New Roman"/>
                <w:sz w:val="24"/>
              </w:rPr>
              <w:t>成品油船3艘，运力规模为5.87万载重吨。</w:t>
            </w:r>
            <w:r>
              <w:rPr>
                <w:rFonts w:hint="eastAsia" w:ascii="Times New Roman" w:hAnsi="Times New Roman"/>
                <w:sz w:val="24"/>
              </w:rPr>
              <w:t>公司2026年一季度末在营船舶较2025年底变化主要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因</w:t>
            </w:r>
            <w:r>
              <w:rPr>
                <w:rFonts w:hint="eastAsia" w:ascii="Times New Roman" w:hAnsi="Times New Roman"/>
                <w:sz w:val="24"/>
              </w:rPr>
              <w:t>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公司控股子公司上海</w:t>
            </w:r>
            <w:r>
              <w:rPr>
                <w:rFonts w:ascii="Times New Roman" w:hAnsi="Times New Roman"/>
                <w:sz w:val="24"/>
              </w:rPr>
              <w:t>兴通万邦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航运有限责任公司一艘</w:t>
            </w:r>
            <w:r>
              <w:rPr>
                <w:rFonts w:ascii="Times New Roman" w:hAnsi="Times New Roman"/>
                <w:sz w:val="24"/>
              </w:rPr>
              <w:t>13,000载重吨高端不锈钢化学品船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“</w:t>
            </w:r>
            <w:r>
              <w:rPr>
                <w:rFonts w:ascii="Times New Roman" w:hAnsi="Times New Roman"/>
                <w:sz w:val="24"/>
              </w:rPr>
              <w:t>善邦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”</w:t>
            </w:r>
            <w:r>
              <w:rPr>
                <w:rFonts w:ascii="Times New Roman" w:hAnsi="Times New Roman"/>
                <w:sz w:val="24"/>
              </w:rPr>
              <w:t>轮投入运营</w:t>
            </w:r>
            <w:r>
              <w:rPr>
                <w:rFonts w:hint="eastAsia" w:ascii="Times New Roman" w:hAnsi="Times New Roman"/>
                <w:sz w:val="24"/>
              </w:rPr>
              <w:t>及部分老旧船舶处置完成所致。</w:t>
            </w:r>
          </w:p>
          <w:p w14:paraId="4FFCEF9B">
            <w:pPr>
              <w:numPr>
                <w:ilvl w:val="255"/>
                <w:numId w:val="0"/>
              </w:numPr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截至2026年3月31日，</w:t>
            </w:r>
            <w:r>
              <w:rPr>
                <w:rFonts w:ascii="Times New Roman" w:hAnsi="Times New Roman"/>
                <w:sz w:val="24"/>
              </w:rPr>
              <w:t>公司共有</w:t>
            </w:r>
            <w:r>
              <w:rPr>
                <w:rFonts w:hint="eastAsia"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艘</w:t>
            </w:r>
            <w:r>
              <w:rPr>
                <w:rFonts w:hint="eastAsia" w:ascii="Times New Roman" w:hAnsi="Times New Roman"/>
                <w:sz w:val="24"/>
              </w:rPr>
              <w:t>在建船舶</w:t>
            </w:r>
            <w:r>
              <w:rPr>
                <w:rFonts w:ascii="Times New Roman" w:hAnsi="Times New Roman"/>
                <w:sz w:val="24"/>
              </w:rPr>
              <w:t>，运力规模合计达</w:t>
            </w:r>
            <w:r>
              <w:rPr>
                <w:rFonts w:hint="eastAsia" w:ascii="Times New Roman" w:hAnsi="Times New Roman"/>
                <w:sz w:val="24"/>
              </w:rPr>
              <w:t>19.36</w:t>
            </w:r>
            <w:r>
              <w:rPr>
                <w:rFonts w:ascii="Times New Roman" w:hAnsi="Times New Roman"/>
                <w:sz w:val="24"/>
              </w:rPr>
              <w:t>万载重吨</w:t>
            </w:r>
            <w:r>
              <w:rPr>
                <w:rFonts w:hint="eastAsia" w:ascii="Times New Roman" w:hAnsi="Times New Roman"/>
                <w:sz w:val="24"/>
              </w:rPr>
              <w:t>，计划于2026年第二季度至2027年上半年陆续投入运营。</w:t>
            </w:r>
          </w:p>
          <w:p w14:paraId="7C083164">
            <w:p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2、主要经营数据</w:t>
            </w:r>
          </w:p>
          <w:p w14:paraId="455A8D37">
            <w:pPr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2025年度，全球化学品航运市场相较于去年同期有一定下滑，主要表现为运价下行和货量不足，叠加去年同期业绩基数较高的双重影响，公司整体经营业绩同比出现回调。2025年度，公司营业收入16.28亿元，同比增长7.51%；归属于上市公司股东净利润2.7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亿元，同比下降22.95%。</w:t>
            </w:r>
          </w:p>
          <w:p w14:paraId="6C5ED3B5">
            <w:pPr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2026年第一季度，公司实现营业收入4.68亿元，同比增长22.28%，归属于上市公司股东净利润1.11亿元，同比增长51.11%。</w:t>
            </w:r>
          </w:p>
          <w:p w14:paraId="786FFD03">
            <w:p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（二）交流的主要问题及公司回复概要</w:t>
            </w:r>
          </w:p>
          <w:p w14:paraId="06F49D9E">
            <w:pPr>
              <w:spacing w:before="156" w:beforeLines="50" w:after="156" w:afterLines="50" w:line="360" w:lineRule="auto"/>
              <w:ind w:firstLine="482" w:firstLineChars="200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问题1：请问兴通运力扩张的具体目标是多少？如大约在多少载重吨，运力水平达到公司理想目标？</w:t>
            </w:r>
          </w:p>
          <w:p w14:paraId="13E91EAC">
            <w:p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/>
                <w:sz w:val="24"/>
              </w:rPr>
              <w:t>公司将按照既定发展节奏，有序推进在建船舶陆续交付投运，稳步提升船队运力规模。中长期公司坚持稳健扩张原则，结合行业趋势与市场需求持续优化船队结构，推动船队向绿色化、高端化、智能化转型升级。公司不片面追求规模增速，始终统筹平衡运力扩张、经营质量与风险防控，保持长期稳健可持续发展。</w:t>
            </w:r>
          </w:p>
          <w:p w14:paraId="016E1DCB">
            <w:pPr>
              <w:spacing w:before="156" w:beforeLines="50" w:after="156" w:afterLines="50" w:line="360" w:lineRule="auto"/>
              <w:ind w:firstLine="482" w:firstLineChars="200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问题2：请问公司有没有船舶被困波斯湾？</w:t>
            </w:r>
          </w:p>
          <w:p w14:paraId="7A9A1D93">
            <w:p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/>
                <w:sz w:val="24"/>
              </w:rPr>
              <w:t>目前公司所有运营船舶均无被困波斯湾情况。公司航线布局覆盖全球主要航运区域，航线结构多元、调配灵活，对单一海峡及航道不存在过度依赖。当前公司船舶航行及整体生产经营均平稳有序。同时，公司持续密切跟踪中东地缘局势变化，常态化开展地缘政治风险研判，完善应急保障预案，科学优化航行线路与运力调配，全力保障船队安全运营和全球供应链稳定。</w:t>
            </w:r>
          </w:p>
          <w:p w14:paraId="31EE223C">
            <w:pPr>
              <w:spacing w:before="156" w:beforeLines="50" w:after="156" w:afterLines="50" w:line="360" w:lineRule="auto"/>
              <w:ind w:firstLine="482" w:firstLineChars="200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问题3：公司现在有多少艘船舶在建造中，何时能够投入使用？</w:t>
            </w:r>
          </w:p>
          <w:p w14:paraId="37A5322D">
            <w:p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/>
                <w:sz w:val="24"/>
              </w:rPr>
              <w:t>截至2026年3月31日，公司在建船舶共10艘，合计运力19.36万载重吨，预计将于2026年第二季度至2027年上半年陆续投入运营。2026年4月30日，公司披露关于建造4艘13,000载重吨不锈钢化学品船舶的公告，后续公司将根据实际进展情况及时履行信息披露义务。</w:t>
            </w:r>
          </w:p>
          <w:p w14:paraId="5818B029">
            <w:pPr>
              <w:spacing w:before="156" w:beforeLines="50" w:after="156" w:afterLines="50" w:line="360" w:lineRule="auto"/>
              <w:ind w:firstLine="482" w:firstLineChars="200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问题4： 请问公司目前在建的10艘船舶中，内贸和外贸分别有几艘，分别是什么类型的船只，每艘船对应的载重吨情况如何？公司今年在建船只预计的下水时间是怎样？今年有无出售老旧船只的打算？公司4月份的业绩环比是否有增长？预计2季度业绩环比情况如何？</w:t>
            </w:r>
          </w:p>
          <w:p w14:paraId="0E7521A6">
            <w:p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/>
                <w:sz w:val="24"/>
              </w:rPr>
              <w:t>截至2026年3月31日，公司在建船舶合计10艘，其中外贸化学品船9艘，分别为5艘25,900载重吨、2艘13,000载重吨、2艘13,800载重吨；内贸化学品船1艘，载重吨为10,490吨。按照计划，今年二至四季度，公司将陆续交付5艘在建外贸化学品船，包括2艘25,900载重吨、2艘13,800载重吨及1艘13,000载重吨船型。老旧船舶处置方面，公司将结合市场行情、行业周期及船队结构优化战略统筹审慎规划，若有相关处置计划，将严格按照监管要求及时履行信息披露义务。单月经营数据及季度业绩属于未公开敏感经营信息，公司不便提前预判，4月份经营情况及二季度业绩表现，请以公司后续披露的定期报告及官方公告为准。</w:t>
            </w:r>
          </w:p>
          <w:p w14:paraId="6DD272EE">
            <w:pPr>
              <w:spacing w:before="156" w:beforeLines="50" w:after="156" w:afterLines="50" w:line="360" w:lineRule="auto"/>
              <w:ind w:firstLine="482" w:firstLineChars="200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问题5：想问下一季度扣非净利润为何反而下降？</w:t>
            </w:r>
          </w:p>
          <w:p w14:paraId="0CD688D3">
            <w:p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sz w:val="24"/>
                <w:lang w:bidi="ar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bidi="ar"/>
              </w:rPr>
              <w:t>回复：</w:t>
            </w:r>
            <w:r>
              <w:rPr>
                <w:rFonts w:hint="eastAsia" w:ascii="Times New Roman" w:hAnsi="Times New Roman"/>
                <w:sz w:val="24"/>
                <w:lang w:bidi="ar"/>
              </w:rPr>
              <w:t>公司2026年一季度扣非净利润同比下降，主要是因为全球化学品航运运价同比下行、去年同期基数较高，叠加人民币升值导致汇兑损失同比增加等多重因素共同影响所致。公司经营稳健，运力结构持续优化，将积极把握市场机遇，提升长期盈利韧性。</w:t>
            </w:r>
          </w:p>
          <w:p w14:paraId="7B7033DF">
            <w:pPr>
              <w:spacing w:before="156" w:beforeLines="50" w:after="156" w:afterLines="50" w:line="360" w:lineRule="auto"/>
              <w:ind w:firstLine="482" w:firstLineChars="200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问题6：中东战争对公司有没有影响？</w:t>
            </w:r>
          </w:p>
          <w:p w14:paraId="609A72D7">
            <w:pPr>
              <w:spacing w:before="156" w:beforeLines="50" w:after="156" w:afterLines="50" w:line="360" w:lineRule="auto"/>
              <w:ind w:firstLine="482" w:firstLineChars="2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回复：</w:t>
            </w:r>
            <w:r>
              <w:rPr>
                <w:rFonts w:hint="eastAsia" w:ascii="Times New Roman" w:hAnsi="Times New Roman"/>
                <w:sz w:val="24"/>
              </w:rPr>
              <w:t>公司专注于全球散装液体危险货物的水上运输业务，国际航线网络覆盖欧洲、地中海、中东、东北亚、东南亚及美洲、澳洲等区域。中东地缘冲突，特别是霍尔木兹海峡的通行状况对区域航运安全、运营成本与航线效率存在一定影响。公司船舶严格遵循国际航行规范与安全航行指引，整体生产经营、航线运营均保持平稳，未受到重大不利冲击。同时，地缘局势引发区域贸易格局调整、运输运距拉长，对行业运价形成一定支撑。公司已建立完善的地缘政治风险防控与应急应对机制，持续密切跟踪中东局势演变，动态优化航线规划、强化船舶安全管控、灵活调配全球运力布局。在严守航行安全底线的基础上，全力保障全球化工产业链供应链稳定畅通。</w:t>
            </w:r>
          </w:p>
        </w:tc>
      </w:tr>
      <w:tr w14:paraId="3D8B0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6945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813FF">
            <w:pPr>
              <w:spacing w:before="156" w:beforeLines="50" w:after="156" w:after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</w:t>
            </w:r>
          </w:p>
        </w:tc>
      </w:tr>
      <w:tr w14:paraId="072DC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F447D9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1DC691">
            <w:pPr>
              <w:spacing w:before="156" w:beforeLines="50" w:after="156" w:afterLine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09B98289">
      <w:pPr>
        <w:widowControl/>
        <w:jc w:val="left"/>
        <w:rPr>
          <w:rFonts w:ascii="Times New Roman" w:hAnsi="Times New Roman"/>
        </w:rPr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9CA5">
    <w:pPr>
      <w:pStyle w:val="5"/>
      <w:jc w:val="both"/>
      <w:rPr>
        <w:rFonts w:ascii="楷体" w:hAnsi="楷体" w:eastAsia="楷体"/>
      </w:rPr>
    </w:pPr>
    <w:r>
      <w:rPr>
        <w:rFonts w:hint="eastAsia" w:ascii="楷体" w:hAnsi="楷体" w:eastAsia="楷体"/>
      </w:rPr>
      <w:t xml:space="preserve">兴通海运股份有限公司 </w:t>
    </w:r>
    <w:r>
      <w:rPr>
        <w:rFonts w:ascii="楷体" w:hAnsi="楷体" w:eastAsia="楷体"/>
      </w:rPr>
      <w:t xml:space="preserve">                                            </w:t>
    </w:r>
    <w:r>
      <w:rPr>
        <w:rFonts w:hint="eastAsia" w:ascii="楷体" w:hAnsi="楷体" w:eastAsia="楷体"/>
      </w:rPr>
      <w:t xml:space="preserve">       </w:t>
    </w:r>
    <w:r>
      <w:rPr>
        <w:rFonts w:ascii="楷体" w:hAnsi="楷体" w:eastAsia="楷体"/>
      </w:rPr>
      <w:t xml:space="preserve">   </w:t>
    </w:r>
    <w:r>
      <w:rPr>
        <w:rFonts w:hint="eastAsia" w:ascii="楷体" w:hAnsi="楷体" w:eastAsia="楷体"/>
      </w:rPr>
      <w:t>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AA275"/>
    <w:multiLevelType w:val="singleLevel"/>
    <w:tmpl w:val="187AA2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YzU5ODBhY2VhYjU0NzM0NjA4YjRjMjNjZjU0MmUifQ=="/>
  </w:docVars>
  <w:rsids>
    <w:rsidRoot w:val="00172A27"/>
    <w:rsid w:val="00000D18"/>
    <w:rsid w:val="000076A8"/>
    <w:rsid w:val="00013B2C"/>
    <w:rsid w:val="000251BC"/>
    <w:rsid w:val="00031EDC"/>
    <w:rsid w:val="00032FBF"/>
    <w:rsid w:val="0004190F"/>
    <w:rsid w:val="0006665D"/>
    <w:rsid w:val="00073D83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B26"/>
    <w:rsid w:val="00121DE3"/>
    <w:rsid w:val="00127A0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76A0"/>
    <w:rsid w:val="002051B0"/>
    <w:rsid w:val="0021568D"/>
    <w:rsid w:val="002421F3"/>
    <w:rsid w:val="0025795E"/>
    <w:rsid w:val="002A590A"/>
    <w:rsid w:val="002A5DDA"/>
    <w:rsid w:val="002B1EA1"/>
    <w:rsid w:val="002B2792"/>
    <w:rsid w:val="002B5738"/>
    <w:rsid w:val="002C7C5F"/>
    <w:rsid w:val="003046C0"/>
    <w:rsid w:val="003146EB"/>
    <w:rsid w:val="003168B2"/>
    <w:rsid w:val="00342805"/>
    <w:rsid w:val="00356C12"/>
    <w:rsid w:val="0036096D"/>
    <w:rsid w:val="003712F0"/>
    <w:rsid w:val="00372B7B"/>
    <w:rsid w:val="00382BB7"/>
    <w:rsid w:val="00385F42"/>
    <w:rsid w:val="00394720"/>
    <w:rsid w:val="003A22AA"/>
    <w:rsid w:val="003C56D1"/>
    <w:rsid w:val="003D2184"/>
    <w:rsid w:val="003E6473"/>
    <w:rsid w:val="003F6DC0"/>
    <w:rsid w:val="00402082"/>
    <w:rsid w:val="00415566"/>
    <w:rsid w:val="0042296F"/>
    <w:rsid w:val="00426B09"/>
    <w:rsid w:val="004413F5"/>
    <w:rsid w:val="00453D13"/>
    <w:rsid w:val="00456D35"/>
    <w:rsid w:val="00461E20"/>
    <w:rsid w:val="004646BB"/>
    <w:rsid w:val="00464AC6"/>
    <w:rsid w:val="00476C84"/>
    <w:rsid w:val="004853F9"/>
    <w:rsid w:val="0049067C"/>
    <w:rsid w:val="00496215"/>
    <w:rsid w:val="00496ED9"/>
    <w:rsid w:val="004A215B"/>
    <w:rsid w:val="004B35E2"/>
    <w:rsid w:val="004B42FE"/>
    <w:rsid w:val="004C7EAD"/>
    <w:rsid w:val="004D001F"/>
    <w:rsid w:val="004D45FF"/>
    <w:rsid w:val="004D771A"/>
    <w:rsid w:val="004E3115"/>
    <w:rsid w:val="004F3029"/>
    <w:rsid w:val="0050067C"/>
    <w:rsid w:val="005026B6"/>
    <w:rsid w:val="00502E9C"/>
    <w:rsid w:val="00520FE3"/>
    <w:rsid w:val="0052527D"/>
    <w:rsid w:val="00527CF4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D4B0E"/>
    <w:rsid w:val="0060293E"/>
    <w:rsid w:val="00605E6F"/>
    <w:rsid w:val="00613EDC"/>
    <w:rsid w:val="0062262A"/>
    <w:rsid w:val="006264DF"/>
    <w:rsid w:val="00627ADB"/>
    <w:rsid w:val="00646058"/>
    <w:rsid w:val="00661F6B"/>
    <w:rsid w:val="00664FF6"/>
    <w:rsid w:val="006655B9"/>
    <w:rsid w:val="006672F6"/>
    <w:rsid w:val="006B22F5"/>
    <w:rsid w:val="006C7C57"/>
    <w:rsid w:val="006D030B"/>
    <w:rsid w:val="006D2E8D"/>
    <w:rsid w:val="006D389E"/>
    <w:rsid w:val="00706B15"/>
    <w:rsid w:val="00711238"/>
    <w:rsid w:val="0071206F"/>
    <w:rsid w:val="00712771"/>
    <w:rsid w:val="00720F84"/>
    <w:rsid w:val="0073320D"/>
    <w:rsid w:val="00736A80"/>
    <w:rsid w:val="00742D08"/>
    <w:rsid w:val="007460EB"/>
    <w:rsid w:val="00746C2A"/>
    <w:rsid w:val="007713DA"/>
    <w:rsid w:val="00792EEF"/>
    <w:rsid w:val="007A4530"/>
    <w:rsid w:val="007A6F30"/>
    <w:rsid w:val="007A7D7C"/>
    <w:rsid w:val="007B371D"/>
    <w:rsid w:val="007B4CF9"/>
    <w:rsid w:val="007D738A"/>
    <w:rsid w:val="007F0CF7"/>
    <w:rsid w:val="007F2858"/>
    <w:rsid w:val="007F717B"/>
    <w:rsid w:val="007F74C6"/>
    <w:rsid w:val="007F7552"/>
    <w:rsid w:val="00800D77"/>
    <w:rsid w:val="00804B8F"/>
    <w:rsid w:val="00804DE1"/>
    <w:rsid w:val="008057B4"/>
    <w:rsid w:val="008525B9"/>
    <w:rsid w:val="00854B7A"/>
    <w:rsid w:val="00870B23"/>
    <w:rsid w:val="00891E31"/>
    <w:rsid w:val="008A10B2"/>
    <w:rsid w:val="008B1C28"/>
    <w:rsid w:val="008C24CC"/>
    <w:rsid w:val="008C7E7C"/>
    <w:rsid w:val="008D1D7F"/>
    <w:rsid w:val="008F64E9"/>
    <w:rsid w:val="008F77EE"/>
    <w:rsid w:val="00903F65"/>
    <w:rsid w:val="00904EA2"/>
    <w:rsid w:val="00940831"/>
    <w:rsid w:val="00950339"/>
    <w:rsid w:val="00960FAA"/>
    <w:rsid w:val="009626AA"/>
    <w:rsid w:val="0097726C"/>
    <w:rsid w:val="0098145D"/>
    <w:rsid w:val="009830FD"/>
    <w:rsid w:val="009918C4"/>
    <w:rsid w:val="009921F7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F06"/>
    <w:rsid w:val="00A05634"/>
    <w:rsid w:val="00A127DE"/>
    <w:rsid w:val="00A24A6E"/>
    <w:rsid w:val="00A55870"/>
    <w:rsid w:val="00A62859"/>
    <w:rsid w:val="00A6428F"/>
    <w:rsid w:val="00A73B46"/>
    <w:rsid w:val="00A82D19"/>
    <w:rsid w:val="00A93B61"/>
    <w:rsid w:val="00A950CC"/>
    <w:rsid w:val="00A96029"/>
    <w:rsid w:val="00AA1054"/>
    <w:rsid w:val="00AB3F05"/>
    <w:rsid w:val="00AC1815"/>
    <w:rsid w:val="00AC36A7"/>
    <w:rsid w:val="00AD1BB4"/>
    <w:rsid w:val="00AE1D23"/>
    <w:rsid w:val="00AF121D"/>
    <w:rsid w:val="00B029F9"/>
    <w:rsid w:val="00B0524B"/>
    <w:rsid w:val="00B16C30"/>
    <w:rsid w:val="00B273B0"/>
    <w:rsid w:val="00B418A3"/>
    <w:rsid w:val="00B533A2"/>
    <w:rsid w:val="00B5658A"/>
    <w:rsid w:val="00B62C32"/>
    <w:rsid w:val="00B85A0D"/>
    <w:rsid w:val="00B90446"/>
    <w:rsid w:val="00BA14F2"/>
    <w:rsid w:val="00BA5BFE"/>
    <w:rsid w:val="00BB4944"/>
    <w:rsid w:val="00BD0C60"/>
    <w:rsid w:val="00BE2645"/>
    <w:rsid w:val="00BE67F0"/>
    <w:rsid w:val="00C00770"/>
    <w:rsid w:val="00C064EA"/>
    <w:rsid w:val="00C3372B"/>
    <w:rsid w:val="00C358B5"/>
    <w:rsid w:val="00C42CBD"/>
    <w:rsid w:val="00C4451C"/>
    <w:rsid w:val="00C51B18"/>
    <w:rsid w:val="00C5461F"/>
    <w:rsid w:val="00C57D81"/>
    <w:rsid w:val="00C61A3F"/>
    <w:rsid w:val="00C63FD3"/>
    <w:rsid w:val="00C70626"/>
    <w:rsid w:val="00C95434"/>
    <w:rsid w:val="00CA27D4"/>
    <w:rsid w:val="00CA2A45"/>
    <w:rsid w:val="00CA6F63"/>
    <w:rsid w:val="00CC62F4"/>
    <w:rsid w:val="00CC75B4"/>
    <w:rsid w:val="00CE3455"/>
    <w:rsid w:val="00CF0115"/>
    <w:rsid w:val="00CF0E73"/>
    <w:rsid w:val="00CF47E1"/>
    <w:rsid w:val="00CF6E94"/>
    <w:rsid w:val="00D0634E"/>
    <w:rsid w:val="00D1386F"/>
    <w:rsid w:val="00D156EC"/>
    <w:rsid w:val="00D320C3"/>
    <w:rsid w:val="00D83A19"/>
    <w:rsid w:val="00DA0D89"/>
    <w:rsid w:val="00DA3C8F"/>
    <w:rsid w:val="00DB35E3"/>
    <w:rsid w:val="00DC6FE4"/>
    <w:rsid w:val="00DD0014"/>
    <w:rsid w:val="00DD5690"/>
    <w:rsid w:val="00DE1B2B"/>
    <w:rsid w:val="00DE7187"/>
    <w:rsid w:val="00DF0E83"/>
    <w:rsid w:val="00DF2823"/>
    <w:rsid w:val="00DF3D1C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751D8"/>
    <w:rsid w:val="00E90C93"/>
    <w:rsid w:val="00E91FB3"/>
    <w:rsid w:val="00E9483C"/>
    <w:rsid w:val="00E95915"/>
    <w:rsid w:val="00E97DAA"/>
    <w:rsid w:val="00EA7263"/>
    <w:rsid w:val="00EB5181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B04BE"/>
    <w:rsid w:val="00FE2E5A"/>
    <w:rsid w:val="00FF5BE3"/>
    <w:rsid w:val="017B5D79"/>
    <w:rsid w:val="0183426C"/>
    <w:rsid w:val="01C6407E"/>
    <w:rsid w:val="01EE19B6"/>
    <w:rsid w:val="01EE5E5A"/>
    <w:rsid w:val="049523C1"/>
    <w:rsid w:val="04F97CCA"/>
    <w:rsid w:val="065555BF"/>
    <w:rsid w:val="070E2695"/>
    <w:rsid w:val="07F02019"/>
    <w:rsid w:val="0A14667A"/>
    <w:rsid w:val="0B2D782B"/>
    <w:rsid w:val="0C300E1D"/>
    <w:rsid w:val="0E247E54"/>
    <w:rsid w:val="0E7A578B"/>
    <w:rsid w:val="107739E8"/>
    <w:rsid w:val="109D6F02"/>
    <w:rsid w:val="10CC55B8"/>
    <w:rsid w:val="119E71F5"/>
    <w:rsid w:val="11CB5DFD"/>
    <w:rsid w:val="11CE2C72"/>
    <w:rsid w:val="11F56D91"/>
    <w:rsid w:val="1206249F"/>
    <w:rsid w:val="15656977"/>
    <w:rsid w:val="156C1118"/>
    <w:rsid w:val="15E15640"/>
    <w:rsid w:val="16AE717B"/>
    <w:rsid w:val="17677CE7"/>
    <w:rsid w:val="17A07CDA"/>
    <w:rsid w:val="181E3EC5"/>
    <w:rsid w:val="19572ABE"/>
    <w:rsid w:val="1A2E46C4"/>
    <w:rsid w:val="1B33700C"/>
    <w:rsid w:val="1C764385"/>
    <w:rsid w:val="1CE5103E"/>
    <w:rsid w:val="1ED7674D"/>
    <w:rsid w:val="1F8D7C0B"/>
    <w:rsid w:val="20AF15DB"/>
    <w:rsid w:val="21E9493A"/>
    <w:rsid w:val="22251B98"/>
    <w:rsid w:val="223034CD"/>
    <w:rsid w:val="223C40BF"/>
    <w:rsid w:val="2262572B"/>
    <w:rsid w:val="22A7686E"/>
    <w:rsid w:val="235A2249"/>
    <w:rsid w:val="23DB3F63"/>
    <w:rsid w:val="23F93CED"/>
    <w:rsid w:val="24370A13"/>
    <w:rsid w:val="24465EFD"/>
    <w:rsid w:val="261F593F"/>
    <w:rsid w:val="264E35F1"/>
    <w:rsid w:val="27A137C5"/>
    <w:rsid w:val="27E7113F"/>
    <w:rsid w:val="28BA4CA4"/>
    <w:rsid w:val="28F17E5A"/>
    <w:rsid w:val="293746B6"/>
    <w:rsid w:val="29EA365B"/>
    <w:rsid w:val="2A956875"/>
    <w:rsid w:val="2B3631F4"/>
    <w:rsid w:val="2C433892"/>
    <w:rsid w:val="2C946F5F"/>
    <w:rsid w:val="2D76092E"/>
    <w:rsid w:val="2D8C5D2A"/>
    <w:rsid w:val="2E2A24F3"/>
    <w:rsid w:val="2E4647A4"/>
    <w:rsid w:val="2E7712D2"/>
    <w:rsid w:val="2EBD3D50"/>
    <w:rsid w:val="2F2D7D98"/>
    <w:rsid w:val="2F98270C"/>
    <w:rsid w:val="2FE3015E"/>
    <w:rsid w:val="311862D7"/>
    <w:rsid w:val="328A7DFC"/>
    <w:rsid w:val="32BE4D76"/>
    <w:rsid w:val="32C81412"/>
    <w:rsid w:val="333C0424"/>
    <w:rsid w:val="33723946"/>
    <w:rsid w:val="33F15422"/>
    <w:rsid w:val="343E41D6"/>
    <w:rsid w:val="34DB41A2"/>
    <w:rsid w:val="35A45FF2"/>
    <w:rsid w:val="35D501BC"/>
    <w:rsid w:val="35ED23EA"/>
    <w:rsid w:val="377C5B85"/>
    <w:rsid w:val="386D45D5"/>
    <w:rsid w:val="38EF7122"/>
    <w:rsid w:val="3A1054F9"/>
    <w:rsid w:val="3C990195"/>
    <w:rsid w:val="3CFC0724"/>
    <w:rsid w:val="3D725FAB"/>
    <w:rsid w:val="3F855194"/>
    <w:rsid w:val="40300E10"/>
    <w:rsid w:val="40A418D2"/>
    <w:rsid w:val="410114B3"/>
    <w:rsid w:val="41A373AE"/>
    <w:rsid w:val="41D1126B"/>
    <w:rsid w:val="41EA240C"/>
    <w:rsid w:val="41F1637D"/>
    <w:rsid w:val="434057B6"/>
    <w:rsid w:val="443E4C7C"/>
    <w:rsid w:val="448500D7"/>
    <w:rsid w:val="44C47D79"/>
    <w:rsid w:val="454300F1"/>
    <w:rsid w:val="460F5E9A"/>
    <w:rsid w:val="469836BD"/>
    <w:rsid w:val="47A81BD4"/>
    <w:rsid w:val="47E96367"/>
    <w:rsid w:val="48D53BBB"/>
    <w:rsid w:val="4A29327C"/>
    <w:rsid w:val="4B7C2CA2"/>
    <w:rsid w:val="4D61085B"/>
    <w:rsid w:val="4DC2676B"/>
    <w:rsid w:val="4DF47921"/>
    <w:rsid w:val="4ED46D2F"/>
    <w:rsid w:val="502E7353"/>
    <w:rsid w:val="51B34A16"/>
    <w:rsid w:val="529556D0"/>
    <w:rsid w:val="52F82D14"/>
    <w:rsid w:val="53B042EA"/>
    <w:rsid w:val="53B8703C"/>
    <w:rsid w:val="555F668F"/>
    <w:rsid w:val="576015AA"/>
    <w:rsid w:val="57F8248F"/>
    <w:rsid w:val="589E4491"/>
    <w:rsid w:val="595653E6"/>
    <w:rsid w:val="5A1465A0"/>
    <w:rsid w:val="5A61633E"/>
    <w:rsid w:val="5BE2009F"/>
    <w:rsid w:val="5CCB2E66"/>
    <w:rsid w:val="5D3729BA"/>
    <w:rsid w:val="5DD64418"/>
    <w:rsid w:val="5F1C2834"/>
    <w:rsid w:val="5F253E4C"/>
    <w:rsid w:val="5FCA3512"/>
    <w:rsid w:val="60181C81"/>
    <w:rsid w:val="601A5E43"/>
    <w:rsid w:val="60367BD9"/>
    <w:rsid w:val="604444D1"/>
    <w:rsid w:val="60EF1139"/>
    <w:rsid w:val="61F46C76"/>
    <w:rsid w:val="62CE052D"/>
    <w:rsid w:val="63DA2CBD"/>
    <w:rsid w:val="64421FF9"/>
    <w:rsid w:val="65BF7904"/>
    <w:rsid w:val="66BC2FDC"/>
    <w:rsid w:val="67744CBA"/>
    <w:rsid w:val="679019F7"/>
    <w:rsid w:val="67E26C44"/>
    <w:rsid w:val="67E5006B"/>
    <w:rsid w:val="67E759A9"/>
    <w:rsid w:val="68631113"/>
    <w:rsid w:val="6A3749C6"/>
    <w:rsid w:val="6A4C654C"/>
    <w:rsid w:val="6D16193B"/>
    <w:rsid w:val="712138AD"/>
    <w:rsid w:val="7143510B"/>
    <w:rsid w:val="71DF6F94"/>
    <w:rsid w:val="74B93FC4"/>
    <w:rsid w:val="759230CE"/>
    <w:rsid w:val="76353AB5"/>
    <w:rsid w:val="77170F04"/>
    <w:rsid w:val="77AE203F"/>
    <w:rsid w:val="77F558E4"/>
    <w:rsid w:val="77F9523C"/>
    <w:rsid w:val="79A35C54"/>
    <w:rsid w:val="7A530D70"/>
    <w:rsid w:val="7B452B70"/>
    <w:rsid w:val="7BA3070B"/>
    <w:rsid w:val="7D0D15B6"/>
    <w:rsid w:val="7DA80D81"/>
    <w:rsid w:val="7E6D5641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20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autoRedefine/>
    <w:semiHidden/>
    <w:unhideWhenUsed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paragraph" w:customStyle="1" w:styleId="11">
    <w:name w:val="Table Paragraph"/>
    <w:basedOn w:val="1"/>
    <w:autoRedefine/>
    <w:qFormat/>
    <w:uiPriority w:val="0"/>
    <w:pPr>
      <w:jc w:val="left"/>
    </w:pPr>
    <w:rPr>
      <w:kern w:val="0"/>
      <w:sz w:val="22"/>
      <w:szCs w:val="22"/>
    </w:rPr>
  </w:style>
  <w:style w:type="table" w:customStyle="1" w:styleId="12">
    <w:name w:val="Table Normal"/>
    <w:basedOn w:val="7"/>
    <w:autoRedefine/>
    <w:semiHidden/>
    <w:qFormat/>
    <w:uiPriority w:val="0"/>
    <w:tblPr>
      <w:tblCellMar>
        <w:left w:w="0" w:type="dxa"/>
        <w:right w:w="0" w:type="dxa"/>
      </w:tblCellMar>
    </w:tblPr>
  </w:style>
  <w:style w:type="character" w:customStyle="1" w:styleId="13">
    <w:name w:val="页眉 字符"/>
    <w:link w:val="5"/>
    <w:autoRedefine/>
    <w:qFormat/>
    <w:uiPriority w:val="0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4"/>
    <w:autoRedefine/>
    <w:qFormat/>
    <w:uiPriority w:val="0"/>
    <w:rPr>
      <w:rFonts w:cs="Times New Roman"/>
      <w:kern w:val="2"/>
      <w:sz w:val="18"/>
      <w:szCs w:val="18"/>
    </w:rPr>
  </w:style>
  <w:style w:type="paragraph" w:customStyle="1" w:styleId="15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6">
    <w:name w:val="oli-avatar-text"/>
    <w:basedOn w:val="9"/>
    <w:autoRedefine/>
    <w:qFormat/>
    <w:uiPriority w:val="0"/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批注文字 字符"/>
    <w:basedOn w:val="9"/>
    <w:link w:val="2"/>
    <w:autoRedefine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6"/>
    <w:autoRedefine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9"/>
    <w:link w:val="3"/>
    <w:autoRedefine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2095</Words>
  <Characters>2307</Characters>
  <Lines>17</Lines>
  <Paragraphs>4</Paragraphs>
  <TotalTime>2</TotalTime>
  <ScaleCrop>false</ScaleCrop>
  <LinksUpToDate>false</LinksUpToDate>
  <CharactersWithSpaces>2385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2026-04-30T09:42:00Z</dcterms:created>
  <dc:creator>86186</dc:creator>
  <cp:lastModifiedBy>No、</cp:lastModifiedBy>
  <cp:lastPrinted>2022-03-16T07:42:00Z</cp:lastPrinted>
  <dcterms:modified xsi:type="dcterms:W3CDTF">2026-05-05T05:40:07Z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F549F0DC7F2B42429F9A3A13885BB1FA_13</vt:lpwstr>
  </property>
  <property fmtid="{D5CDD505-2E9C-101B-9397-08002B2CF9AE}" pid="4" name="KSOTemplateDocerSaveRecord">
    <vt:lpwstr>eyJoZGlkIjoiNTU0ZmIwYTQ3NzlmZGUxZmU3Zjk0M2IyZTNmM2IxNjAiLCJ1c2VySWQiOiIzMDI2MTkyOTMifQ==</vt:lpwstr>
  </property>
</Properties>
</file>