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2541" w14:textId="7730B8AC" w:rsidR="006A6506" w:rsidRDefault="006A6506" w:rsidP="00F651FD">
      <w:pPr>
        <w:pStyle w:val="Default"/>
        <w:spacing w:line="360" w:lineRule="auto"/>
        <w:rPr>
          <w:sz w:val="23"/>
          <w:szCs w:val="23"/>
        </w:rPr>
      </w:pPr>
    </w:p>
    <w:p w14:paraId="251E1258" w14:textId="77777777" w:rsidR="006A6506" w:rsidRPr="006725A7" w:rsidRDefault="00940708" w:rsidP="00F651FD">
      <w:pPr>
        <w:pStyle w:val="Default"/>
        <w:spacing w:line="360" w:lineRule="auto"/>
        <w:jc w:val="center"/>
        <w:rPr>
          <w:rFonts w:ascii="黑体" w:eastAsia="黑体" w:cs="黑体"/>
          <w:b/>
          <w:color w:val="FF0000"/>
          <w:sz w:val="36"/>
          <w:szCs w:val="36"/>
        </w:rPr>
      </w:pPr>
      <w:r w:rsidRPr="006725A7">
        <w:rPr>
          <w:rFonts w:ascii="黑体" w:eastAsia="黑体" w:cs="黑体" w:hint="eastAsia"/>
          <w:b/>
          <w:color w:val="FF0000"/>
          <w:sz w:val="36"/>
          <w:szCs w:val="36"/>
        </w:rPr>
        <w:t>广东丸美生物技术</w:t>
      </w:r>
      <w:r w:rsidR="006A6506" w:rsidRPr="006725A7">
        <w:rPr>
          <w:rFonts w:ascii="黑体" w:eastAsia="黑体" w:cs="黑体" w:hint="eastAsia"/>
          <w:b/>
          <w:color w:val="FF0000"/>
          <w:sz w:val="36"/>
          <w:szCs w:val="36"/>
        </w:rPr>
        <w:t>股份有限公司</w:t>
      </w:r>
    </w:p>
    <w:p w14:paraId="0DB28ABF" w14:textId="2F577906" w:rsidR="006A6506" w:rsidRPr="00C96230" w:rsidRDefault="004037C8" w:rsidP="00F651FD">
      <w:pPr>
        <w:pStyle w:val="Default"/>
        <w:spacing w:line="360" w:lineRule="auto"/>
        <w:jc w:val="center"/>
        <w:rPr>
          <w:rFonts w:ascii="黑体" w:eastAsia="黑体" w:cs="黑体"/>
          <w:b/>
          <w:color w:val="FF0000"/>
          <w:sz w:val="36"/>
          <w:szCs w:val="36"/>
        </w:rPr>
      </w:pPr>
      <w:r>
        <w:rPr>
          <w:rFonts w:ascii="黑体" w:eastAsia="黑体" w:cs="黑体" w:hint="eastAsia"/>
          <w:b/>
          <w:color w:val="FF0000"/>
          <w:sz w:val="36"/>
          <w:szCs w:val="36"/>
        </w:rPr>
        <w:t>202</w:t>
      </w:r>
      <w:r w:rsidR="00DE1312">
        <w:rPr>
          <w:rFonts w:ascii="黑体" w:eastAsia="黑体" w:cs="黑体" w:hint="eastAsia"/>
          <w:b/>
          <w:color w:val="FF0000"/>
          <w:sz w:val="36"/>
          <w:szCs w:val="36"/>
        </w:rPr>
        <w:t>6</w:t>
      </w:r>
      <w:r>
        <w:rPr>
          <w:rFonts w:ascii="黑体" w:eastAsia="黑体" w:cs="黑体" w:hint="eastAsia"/>
          <w:b/>
          <w:color w:val="FF0000"/>
          <w:sz w:val="36"/>
          <w:szCs w:val="36"/>
        </w:rPr>
        <w:t>年</w:t>
      </w:r>
      <w:r w:rsidR="00DE1312">
        <w:rPr>
          <w:rFonts w:ascii="黑体" w:eastAsia="黑体" w:cs="黑体" w:hint="eastAsia"/>
          <w:b/>
          <w:color w:val="FF0000"/>
          <w:sz w:val="36"/>
          <w:szCs w:val="36"/>
        </w:rPr>
        <w:t>一</w:t>
      </w:r>
      <w:r w:rsidR="00B769A6">
        <w:rPr>
          <w:rFonts w:ascii="黑体" w:eastAsia="黑体" w:cs="黑体" w:hint="eastAsia"/>
          <w:b/>
          <w:color w:val="FF0000"/>
          <w:sz w:val="36"/>
          <w:szCs w:val="36"/>
        </w:rPr>
        <w:t>季度</w:t>
      </w:r>
      <w:r>
        <w:rPr>
          <w:rFonts w:ascii="黑体" w:eastAsia="黑体" w:cs="黑体" w:hint="eastAsia"/>
          <w:b/>
          <w:color w:val="FF0000"/>
          <w:sz w:val="36"/>
          <w:szCs w:val="36"/>
        </w:rPr>
        <w:t>业绩</w:t>
      </w:r>
      <w:r w:rsidR="00E06D5E">
        <w:rPr>
          <w:rFonts w:ascii="黑体" w:eastAsia="黑体" w:cs="黑体" w:hint="eastAsia"/>
          <w:b/>
          <w:color w:val="FF0000"/>
          <w:sz w:val="36"/>
          <w:szCs w:val="36"/>
        </w:rPr>
        <w:t>交流会会议纪要</w:t>
      </w:r>
    </w:p>
    <w:p w14:paraId="15816D86" w14:textId="23298AAF" w:rsidR="006A6506" w:rsidRPr="00F651FD" w:rsidRDefault="006A6506" w:rsidP="00B44D8C">
      <w:pPr>
        <w:adjustRightInd w:val="0"/>
        <w:snapToGrid w:val="0"/>
        <w:spacing w:line="400" w:lineRule="exact"/>
        <w:ind w:firstLine="510"/>
        <w:jc w:val="center"/>
      </w:pPr>
    </w:p>
    <w:p w14:paraId="215360A2" w14:textId="0BBA1A25" w:rsidR="00E06D5E" w:rsidRDefault="00E06D5E" w:rsidP="00B44D8C">
      <w:pPr>
        <w:adjustRightInd w:val="0"/>
        <w:snapToGrid w:val="0"/>
        <w:spacing w:afterLines="50" w:after="120" w:line="430" w:lineRule="exact"/>
        <w:ind w:firstLineChars="200" w:firstLine="482"/>
        <w:rPr>
          <w:rFonts w:ascii="宋体" w:eastAsia="宋体" w:hAnsi="宋体" w:cs="Arial" w:hint="eastAsia"/>
          <w:b/>
          <w:sz w:val="24"/>
          <w:szCs w:val="21"/>
        </w:rPr>
      </w:pPr>
      <w:r w:rsidRPr="00E06D5E">
        <w:rPr>
          <w:rFonts w:ascii="宋体" w:eastAsia="宋体" w:hAnsi="宋体" w:cs="Arial" w:hint="eastAsia"/>
          <w:b/>
          <w:sz w:val="24"/>
          <w:szCs w:val="21"/>
        </w:rPr>
        <w:t>一、</w:t>
      </w:r>
      <w:r>
        <w:rPr>
          <w:rFonts w:ascii="宋体" w:eastAsia="宋体" w:hAnsi="宋体" w:cs="Arial" w:hint="eastAsia"/>
          <w:b/>
          <w:sz w:val="24"/>
          <w:szCs w:val="21"/>
        </w:rPr>
        <w:t>会议召开情况</w:t>
      </w:r>
    </w:p>
    <w:p w14:paraId="16AEEE1C" w14:textId="246F2EE7" w:rsidR="00E06D5E" w:rsidRPr="00B24395" w:rsidRDefault="00620D72" w:rsidP="00B44D8C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>
        <w:rPr>
          <w:rFonts w:ascii="宋体" w:eastAsia="宋体" w:hAnsi="宋体" w:cs="Arial" w:hint="eastAsia"/>
          <w:sz w:val="24"/>
          <w:szCs w:val="21"/>
        </w:rPr>
        <w:t>会议</w:t>
      </w:r>
      <w:r w:rsidR="00E06D5E" w:rsidRPr="00B24395">
        <w:rPr>
          <w:rFonts w:ascii="宋体" w:eastAsia="宋体" w:hAnsi="宋体" w:cs="Arial" w:hint="eastAsia"/>
          <w:sz w:val="24"/>
          <w:szCs w:val="21"/>
        </w:rPr>
        <w:t>时间：</w:t>
      </w:r>
      <w:r w:rsidR="00562FE0">
        <w:rPr>
          <w:rFonts w:ascii="宋体" w:eastAsia="宋体" w:hAnsi="宋体" w:cs="Arial" w:hint="eastAsia"/>
          <w:sz w:val="24"/>
          <w:szCs w:val="21"/>
        </w:rPr>
        <w:t>202</w:t>
      </w:r>
      <w:r w:rsidR="00DE1312">
        <w:rPr>
          <w:rFonts w:ascii="宋体" w:eastAsia="宋体" w:hAnsi="宋体" w:cs="Arial" w:hint="eastAsia"/>
          <w:sz w:val="24"/>
          <w:szCs w:val="21"/>
        </w:rPr>
        <w:t>6</w:t>
      </w:r>
      <w:r w:rsidR="00E06D5E" w:rsidRPr="00B24395">
        <w:rPr>
          <w:rFonts w:ascii="宋体" w:eastAsia="宋体" w:hAnsi="宋体" w:cs="Arial" w:hint="eastAsia"/>
          <w:sz w:val="24"/>
          <w:szCs w:val="21"/>
        </w:rPr>
        <w:t>年</w:t>
      </w:r>
      <w:r w:rsidR="00DE1312">
        <w:rPr>
          <w:rFonts w:ascii="宋体" w:eastAsia="宋体" w:hAnsi="宋体" w:cs="Arial" w:hint="eastAsia"/>
          <w:sz w:val="24"/>
          <w:szCs w:val="21"/>
        </w:rPr>
        <w:t>4</w:t>
      </w:r>
      <w:r w:rsidR="00E06D5E" w:rsidRPr="00B24395">
        <w:rPr>
          <w:rFonts w:ascii="宋体" w:eastAsia="宋体" w:hAnsi="宋体" w:cs="Arial" w:hint="eastAsia"/>
          <w:sz w:val="24"/>
          <w:szCs w:val="21"/>
        </w:rPr>
        <w:t>月</w:t>
      </w:r>
      <w:r w:rsidR="00B769A6">
        <w:rPr>
          <w:rFonts w:ascii="宋体" w:eastAsia="宋体" w:hAnsi="宋体" w:cs="Arial" w:hint="eastAsia"/>
          <w:sz w:val="24"/>
          <w:szCs w:val="21"/>
        </w:rPr>
        <w:t>3</w:t>
      </w:r>
      <w:r w:rsidR="00DE1312">
        <w:rPr>
          <w:rFonts w:ascii="宋体" w:eastAsia="宋体" w:hAnsi="宋体" w:cs="Arial" w:hint="eastAsia"/>
          <w:sz w:val="24"/>
          <w:szCs w:val="21"/>
        </w:rPr>
        <w:t>0</w:t>
      </w:r>
      <w:r w:rsidR="00E06D5E" w:rsidRPr="00B24395">
        <w:rPr>
          <w:rFonts w:ascii="宋体" w:eastAsia="宋体" w:hAnsi="宋体" w:cs="Arial" w:hint="eastAsia"/>
          <w:sz w:val="24"/>
          <w:szCs w:val="21"/>
        </w:rPr>
        <w:t>日</w:t>
      </w:r>
      <w:r w:rsidR="00722740">
        <w:rPr>
          <w:rFonts w:ascii="宋体" w:eastAsia="宋体" w:hAnsi="宋体" w:cs="Arial" w:hint="eastAsia"/>
          <w:sz w:val="24"/>
          <w:szCs w:val="21"/>
        </w:rPr>
        <w:t>1</w:t>
      </w:r>
      <w:r w:rsidR="00B769A6">
        <w:rPr>
          <w:rFonts w:ascii="宋体" w:eastAsia="宋体" w:hAnsi="宋体" w:cs="Arial" w:hint="eastAsia"/>
          <w:sz w:val="24"/>
          <w:szCs w:val="21"/>
        </w:rPr>
        <w:t>0</w:t>
      </w:r>
      <w:r w:rsidR="00722740">
        <w:rPr>
          <w:rFonts w:ascii="宋体" w:eastAsia="宋体" w:hAnsi="宋体" w:cs="Arial" w:hint="eastAsia"/>
          <w:sz w:val="24"/>
          <w:szCs w:val="21"/>
        </w:rPr>
        <w:t>:</w:t>
      </w:r>
      <w:r w:rsidR="00DE1312">
        <w:rPr>
          <w:rFonts w:ascii="宋体" w:eastAsia="宋体" w:hAnsi="宋体" w:cs="Arial" w:hint="eastAsia"/>
          <w:sz w:val="24"/>
          <w:szCs w:val="21"/>
        </w:rPr>
        <w:t>0</w:t>
      </w:r>
      <w:r w:rsidR="005C1A72">
        <w:rPr>
          <w:rFonts w:ascii="宋体" w:eastAsia="宋体" w:hAnsi="宋体" w:cs="Arial" w:hint="eastAsia"/>
          <w:sz w:val="24"/>
          <w:szCs w:val="21"/>
        </w:rPr>
        <w:t>0</w:t>
      </w:r>
    </w:p>
    <w:p w14:paraId="4FF1780B" w14:textId="299DC763" w:rsidR="00E06D5E" w:rsidRPr="00B24395" w:rsidRDefault="00620D72" w:rsidP="00B44D8C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>
        <w:rPr>
          <w:rFonts w:ascii="宋体" w:eastAsia="宋体" w:hAnsi="宋体" w:cs="Arial" w:hint="eastAsia"/>
          <w:sz w:val="24"/>
          <w:szCs w:val="21"/>
        </w:rPr>
        <w:t>召开</w:t>
      </w:r>
      <w:r w:rsidR="004037C8">
        <w:rPr>
          <w:rFonts w:ascii="宋体" w:eastAsia="宋体" w:hAnsi="宋体" w:cs="Arial" w:hint="eastAsia"/>
          <w:sz w:val="24"/>
          <w:szCs w:val="21"/>
        </w:rPr>
        <w:t>方式</w:t>
      </w:r>
      <w:r w:rsidR="00E06D5E" w:rsidRPr="00B24395">
        <w:rPr>
          <w:rFonts w:ascii="宋体" w:eastAsia="宋体" w:hAnsi="宋体" w:cs="Arial" w:hint="eastAsia"/>
          <w:sz w:val="24"/>
          <w:szCs w:val="21"/>
        </w:rPr>
        <w:t>：</w:t>
      </w:r>
      <w:r w:rsidR="004037C8">
        <w:rPr>
          <w:rFonts w:ascii="宋体" w:eastAsia="宋体" w:hAnsi="宋体" w:cs="Arial" w:hint="eastAsia"/>
          <w:sz w:val="24"/>
          <w:szCs w:val="21"/>
        </w:rPr>
        <w:t>线上会议</w:t>
      </w:r>
    </w:p>
    <w:p w14:paraId="7D972FF5" w14:textId="57B87FC0" w:rsidR="00E06D5E" w:rsidRPr="00B24395" w:rsidRDefault="00E06D5E" w:rsidP="00B44D8C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B24395">
        <w:rPr>
          <w:rFonts w:ascii="宋体" w:eastAsia="宋体" w:hAnsi="宋体" w:cs="Arial" w:hint="eastAsia"/>
          <w:sz w:val="24"/>
          <w:szCs w:val="21"/>
        </w:rPr>
        <w:t>参会人员：董事长兼CEO</w:t>
      </w:r>
      <w:proofErr w:type="gramStart"/>
      <w:r w:rsidRPr="00B24395">
        <w:rPr>
          <w:rFonts w:ascii="宋体" w:eastAsia="宋体" w:hAnsi="宋体" w:cs="Arial" w:hint="eastAsia"/>
          <w:sz w:val="24"/>
          <w:szCs w:val="21"/>
        </w:rPr>
        <w:t>孙怀庆</w:t>
      </w:r>
      <w:proofErr w:type="gramEnd"/>
      <w:r w:rsidRPr="00B24395">
        <w:rPr>
          <w:rFonts w:ascii="宋体" w:eastAsia="宋体" w:hAnsi="宋体" w:cs="Arial" w:hint="eastAsia"/>
          <w:sz w:val="24"/>
          <w:szCs w:val="21"/>
        </w:rPr>
        <w:t>、</w:t>
      </w:r>
      <w:r w:rsidR="004037C8" w:rsidRPr="004037C8">
        <w:rPr>
          <w:rFonts w:ascii="宋体" w:eastAsia="宋体" w:hAnsi="宋体" w:cs="Arial" w:hint="eastAsia"/>
          <w:sz w:val="24"/>
          <w:szCs w:val="21"/>
        </w:rPr>
        <w:t>董事</w:t>
      </w:r>
      <w:r w:rsidR="004037C8">
        <w:rPr>
          <w:rFonts w:ascii="宋体" w:eastAsia="宋体" w:hAnsi="宋体" w:cs="Arial" w:hint="eastAsia"/>
          <w:sz w:val="24"/>
          <w:szCs w:val="21"/>
        </w:rPr>
        <w:t>兼CFO</w:t>
      </w:r>
      <w:r w:rsidR="004037C8" w:rsidRPr="004037C8">
        <w:rPr>
          <w:rFonts w:ascii="宋体" w:eastAsia="宋体" w:hAnsi="宋体" w:cs="Arial" w:hint="eastAsia"/>
          <w:sz w:val="24"/>
          <w:szCs w:val="21"/>
        </w:rPr>
        <w:t>王开慧</w:t>
      </w:r>
      <w:r w:rsidR="00CC4FBC">
        <w:rPr>
          <w:rFonts w:ascii="宋体" w:eastAsia="宋体" w:hAnsi="宋体" w:cs="Arial" w:hint="eastAsia"/>
          <w:sz w:val="24"/>
          <w:szCs w:val="21"/>
        </w:rPr>
        <w:t>、</w:t>
      </w:r>
      <w:r w:rsidR="000F6FFA">
        <w:rPr>
          <w:rFonts w:ascii="宋体" w:eastAsia="宋体" w:hAnsi="宋体" w:cs="Arial" w:hint="eastAsia"/>
          <w:sz w:val="24"/>
          <w:szCs w:val="21"/>
        </w:rPr>
        <w:t>独立董事</w:t>
      </w:r>
      <w:r w:rsidR="00DE1312">
        <w:rPr>
          <w:rFonts w:ascii="宋体" w:eastAsia="宋体" w:hAnsi="宋体" w:cs="Arial" w:hint="eastAsia"/>
          <w:sz w:val="24"/>
          <w:szCs w:val="21"/>
        </w:rPr>
        <w:t>张启祥</w:t>
      </w:r>
      <w:r w:rsidR="000F6FFA">
        <w:rPr>
          <w:rFonts w:ascii="宋体" w:eastAsia="宋体" w:hAnsi="宋体" w:cs="Arial" w:hint="eastAsia"/>
          <w:sz w:val="24"/>
          <w:szCs w:val="21"/>
        </w:rPr>
        <w:t>、</w:t>
      </w:r>
      <w:r w:rsidRPr="00B24395">
        <w:rPr>
          <w:rFonts w:ascii="宋体" w:eastAsia="宋体" w:hAnsi="宋体" w:cs="Arial" w:hint="eastAsia"/>
          <w:sz w:val="24"/>
          <w:szCs w:val="21"/>
        </w:rPr>
        <w:t>董事会秘书</w:t>
      </w:r>
      <w:r w:rsidR="00EB7565">
        <w:rPr>
          <w:rFonts w:ascii="宋体" w:eastAsia="宋体" w:hAnsi="宋体" w:cs="Arial" w:hint="eastAsia"/>
          <w:sz w:val="24"/>
          <w:szCs w:val="21"/>
        </w:rPr>
        <w:t>程迪</w:t>
      </w:r>
    </w:p>
    <w:p w14:paraId="2C17D4C6" w14:textId="77777777" w:rsidR="00E06D5E" w:rsidRPr="00B24395" w:rsidRDefault="00E06D5E" w:rsidP="00B44D8C">
      <w:pPr>
        <w:adjustRightInd w:val="0"/>
        <w:snapToGrid w:val="0"/>
        <w:spacing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B24395">
        <w:rPr>
          <w:rFonts w:ascii="宋体" w:eastAsia="宋体" w:hAnsi="宋体" w:cs="Arial" w:hint="eastAsia"/>
          <w:sz w:val="24"/>
          <w:szCs w:val="21"/>
        </w:rPr>
        <w:t>主要参会机构：详见“附件：参会机构清单”</w:t>
      </w:r>
    </w:p>
    <w:p w14:paraId="294A72B1" w14:textId="77777777" w:rsidR="00E06D5E" w:rsidRPr="00E06D5E" w:rsidRDefault="00E06D5E" w:rsidP="00B44D8C">
      <w:pPr>
        <w:adjustRightInd w:val="0"/>
        <w:snapToGrid w:val="0"/>
        <w:spacing w:line="430" w:lineRule="exact"/>
        <w:ind w:firstLineChars="200" w:firstLine="482"/>
        <w:rPr>
          <w:rFonts w:ascii="宋体" w:eastAsia="宋体" w:hAnsi="宋体" w:cs="Arial" w:hint="eastAsia"/>
          <w:b/>
          <w:sz w:val="24"/>
          <w:szCs w:val="21"/>
        </w:rPr>
      </w:pPr>
      <w:r w:rsidRPr="00E06D5E">
        <w:rPr>
          <w:rFonts w:ascii="宋体" w:eastAsia="宋体" w:hAnsi="宋体" w:cs="Arial" w:hint="eastAsia"/>
          <w:b/>
          <w:sz w:val="24"/>
          <w:szCs w:val="21"/>
        </w:rPr>
        <w:t xml:space="preserve">　</w:t>
      </w:r>
    </w:p>
    <w:p w14:paraId="281EC413" w14:textId="77777777" w:rsidR="00E06D5E" w:rsidRDefault="00E06D5E" w:rsidP="00B44D8C">
      <w:pPr>
        <w:adjustRightInd w:val="0"/>
        <w:snapToGrid w:val="0"/>
        <w:spacing w:afterLines="50" w:after="120" w:line="430" w:lineRule="exact"/>
        <w:ind w:firstLineChars="200" w:firstLine="482"/>
        <w:rPr>
          <w:rFonts w:ascii="宋体" w:eastAsia="宋体" w:hAnsi="宋体" w:cs="Arial" w:hint="eastAsia"/>
          <w:b/>
          <w:sz w:val="24"/>
          <w:szCs w:val="21"/>
        </w:rPr>
      </w:pPr>
      <w:r w:rsidRPr="00E06D5E">
        <w:rPr>
          <w:rFonts w:ascii="宋体" w:eastAsia="宋体" w:hAnsi="宋体" w:cs="Arial" w:hint="eastAsia"/>
          <w:b/>
          <w:sz w:val="24"/>
          <w:szCs w:val="21"/>
        </w:rPr>
        <w:t>二、会议纪要</w:t>
      </w:r>
    </w:p>
    <w:p w14:paraId="7CB5557C" w14:textId="58670CF0" w:rsidR="00BF5C19" w:rsidRPr="00111935" w:rsidRDefault="00BF5C19" w:rsidP="00B44D8C">
      <w:pPr>
        <w:adjustRightInd w:val="0"/>
        <w:snapToGrid w:val="0"/>
        <w:spacing w:afterLines="50" w:after="120" w:line="430" w:lineRule="exact"/>
        <w:ind w:firstLineChars="200" w:firstLine="482"/>
        <w:rPr>
          <w:rFonts w:ascii="宋体" w:eastAsia="宋体" w:hAnsi="宋体" w:cs="Arial" w:hint="eastAsia"/>
          <w:b/>
          <w:sz w:val="24"/>
          <w:szCs w:val="21"/>
        </w:rPr>
      </w:pPr>
      <w:r w:rsidRPr="00111935">
        <w:rPr>
          <w:rFonts w:ascii="宋体" w:eastAsia="宋体" w:hAnsi="宋体" w:cs="Arial" w:hint="eastAsia"/>
          <w:b/>
          <w:sz w:val="24"/>
          <w:szCs w:val="21"/>
        </w:rPr>
        <w:t>（一）管理</w:t>
      </w:r>
      <w:proofErr w:type="gramStart"/>
      <w:r w:rsidRPr="00111935">
        <w:rPr>
          <w:rFonts w:ascii="宋体" w:eastAsia="宋体" w:hAnsi="宋体" w:cs="Arial" w:hint="eastAsia"/>
          <w:b/>
          <w:sz w:val="24"/>
          <w:szCs w:val="21"/>
        </w:rPr>
        <w:t>层介绍</w:t>
      </w:r>
      <w:proofErr w:type="gramEnd"/>
      <w:r w:rsidRPr="00111935">
        <w:rPr>
          <w:rFonts w:ascii="宋体" w:eastAsia="宋体" w:hAnsi="宋体" w:cs="Arial" w:hint="eastAsia"/>
          <w:b/>
          <w:sz w:val="24"/>
          <w:szCs w:val="21"/>
        </w:rPr>
        <w:t>202</w:t>
      </w:r>
      <w:r w:rsidR="00DE1312">
        <w:rPr>
          <w:rFonts w:ascii="宋体" w:eastAsia="宋体" w:hAnsi="宋体" w:cs="Arial" w:hint="eastAsia"/>
          <w:b/>
          <w:sz w:val="24"/>
          <w:szCs w:val="21"/>
        </w:rPr>
        <w:t>6</w:t>
      </w:r>
      <w:r w:rsidRPr="00111935">
        <w:rPr>
          <w:rFonts w:ascii="宋体" w:eastAsia="宋体" w:hAnsi="宋体" w:cs="Arial" w:hint="eastAsia"/>
          <w:b/>
          <w:sz w:val="24"/>
          <w:szCs w:val="21"/>
        </w:rPr>
        <w:t>年</w:t>
      </w:r>
      <w:r w:rsidR="00DE1312">
        <w:rPr>
          <w:rFonts w:ascii="宋体" w:eastAsia="宋体" w:hAnsi="宋体" w:cs="Arial" w:hint="eastAsia"/>
          <w:b/>
          <w:sz w:val="24"/>
          <w:szCs w:val="21"/>
        </w:rPr>
        <w:t>一</w:t>
      </w:r>
      <w:r w:rsidR="00B769A6">
        <w:rPr>
          <w:rFonts w:ascii="宋体" w:eastAsia="宋体" w:hAnsi="宋体" w:cs="Arial" w:hint="eastAsia"/>
          <w:b/>
          <w:sz w:val="24"/>
          <w:szCs w:val="21"/>
        </w:rPr>
        <w:t>季度</w:t>
      </w:r>
      <w:r w:rsidRPr="00111935">
        <w:rPr>
          <w:rFonts w:ascii="宋体" w:eastAsia="宋体" w:hAnsi="宋体" w:cs="Arial" w:hint="eastAsia"/>
          <w:b/>
          <w:sz w:val="24"/>
          <w:szCs w:val="21"/>
        </w:rPr>
        <w:t>经营情况</w:t>
      </w:r>
    </w:p>
    <w:p w14:paraId="61016AD7" w14:textId="45A1EAA5" w:rsidR="00F761D9" w:rsidRPr="00F761D9" w:rsidRDefault="00F761D9" w:rsidP="00F761D9">
      <w:pPr>
        <w:adjustRightInd w:val="0"/>
        <w:snapToGrid w:val="0"/>
        <w:spacing w:afterLines="50" w:after="120" w:line="43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F761D9">
        <w:rPr>
          <w:rFonts w:asciiTheme="majorEastAsia" w:eastAsiaTheme="majorEastAsia" w:hAnsiTheme="majorEastAsia" w:hint="eastAsia"/>
          <w:sz w:val="24"/>
          <w:szCs w:val="24"/>
        </w:rPr>
        <w:t>2026年一季度，公司实现营业收入8.81亿元，同比</w:t>
      </w:r>
      <w:r w:rsidR="00793914" w:rsidRPr="00793914">
        <w:rPr>
          <w:rFonts w:asciiTheme="majorEastAsia" w:eastAsiaTheme="majorEastAsia" w:hAnsiTheme="majorEastAsia" w:hint="eastAsia"/>
          <w:sz w:val="24"/>
          <w:szCs w:val="24"/>
        </w:rPr>
        <w:t>增长</w:t>
      </w:r>
      <w:r w:rsidRPr="00F761D9">
        <w:rPr>
          <w:rFonts w:asciiTheme="majorEastAsia" w:eastAsiaTheme="majorEastAsia" w:hAnsiTheme="majorEastAsia" w:hint="eastAsia"/>
          <w:sz w:val="24"/>
          <w:szCs w:val="24"/>
        </w:rPr>
        <w:t>4.09%，</w:t>
      </w:r>
      <w:r w:rsidR="00793914" w:rsidRPr="00793914">
        <w:rPr>
          <w:rFonts w:asciiTheme="majorEastAsia" w:eastAsiaTheme="majorEastAsia" w:hAnsiTheme="majorEastAsia" w:hint="eastAsia"/>
          <w:sz w:val="24"/>
          <w:szCs w:val="24"/>
        </w:rPr>
        <w:t>主要得益于线下渠道</w:t>
      </w:r>
      <w:r w:rsidR="00A40549" w:rsidRPr="00A40549">
        <w:rPr>
          <w:rFonts w:asciiTheme="majorEastAsia" w:eastAsiaTheme="majorEastAsia" w:hAnsiTheme="majorEastAsia" w:hint="eastAsia"/>
          <w:sz w:val="24"/>
          <w:szCs w:val="24"/>
        </w:rPr>
        <w:t>表现强劲</w:t>
      </w:r>
      <w:r w:rsidR="00FA6D6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A40549" w:rsidRPr="00A40549">
        <w:rPr>
          <w:rFonts w:asciiTheme="majorEastAsia" w:eastAsiaTheme="majorEastAsia" w:hAnsiTheme="majorEastAsia" w:hint="eastAsia"/>
          <w:sz w:val="24"/>
          <w:szCs w:val="24"/>
        </w:rPr>
        <w:t>实现31.55%的同比增长</w:t>
      </w:r>
      <w:r w:rsidR="00FA6D65">
        <w:rPr>
          <w:rFonts w:asciiTheme="majorEastAsia" w:eastAsiaTheme="majorEastAsia" w:hAnsiTheme="majorEastAsia" w:hint="eastAsia"/>
          <w:sz w:val="24"/>
          <w:szCs w:val="24"/>
        </w:rPr>
        <w:t>，以及线</w:t>
      </w:r>
      <w:proofErr w:type="gramStart"/>
      <w:r w:rsidR="00FA6D65">
        <w:rPr>
          <w:rFonts w:asciiTheme="majorEastAsia" w:eastAsiaTheme="majorEastAsia" w:hAnsiTheme="majorEastAsia" w:hint="eastAsia"/>
          <w:sz w:val="24"/>
          <w:szCs w:val="24"/>
        </w:rPr>
        <w:t>上抖快自播</w:t>
      </w:r>
      <w:proofErr w:type="gramEnd"/>
      <w:r w:rsidR="00FA6D65">
        <w:rPr>
          <w:rFonts w:asciiTheme="majorEastAsia" w:eastAsiaTheme="majorEastAsia" w:hAnsiTheme="majorEastAsia" w:hint="eastAsia"/>
          <w:sz w:val="24"/>
          <w:szCs w:val="24"/>
        </w:rPr>
        <w:t>保持高比例增长</w:t>
      </w:r>
      <w:r w:rsidRPr="00F761D9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A40549" w:rsidRPr="00A40549">
        <w:rPr>
          <w:rFonts w:asciiTheme="majorEastAsia" w:eastAsiaTheme="majorEastAsia" w:hAnsiTheme="majorEastAsia" w:hint="eastAsia"/>
          <w:sz w:val="24"/>
          <w:szCs w:val="24"/>
        </w:rPr>
        <w:t>报告期内，</w:t>
      </w:r>
      <w:r w:rsidR="00793914">
        <w:rPr>
          <w:rFonts w:asciiTheme="majorEastAsia" w:eastAsiaTheme="majorEastAsia" w:hAnsiTheme="majorEastAsia" w:hint="eastAsia"/>
          <w:sz w:val="24"/>
          <w:szCs w:val="24"/>
        </w:rPr>
        <w:t>公司</w:t>
      </w:r>
      <w:r w:rsidRPr="00F761D9">
        <w:rPr>
          <w:rFonts w:asciiTheme="majorEastAsia" w:eastAsiaTheme="majorEastAsia" w:hAnsiTheme="majorEastAsia" w:hint="eastAsia"/>
          <w:sz w:val="24"/>
          <w:szCs w:val="24"/>
        </w:rPr>
        <w:t>整体毛利率为73.82%，</w:t>
      </w:r>
      <w:r w:rsidR="00A40549" w:rsidRPr="00A40549">
        <w:rPr>
          <w:rFonts w:asciiTheme="majorEastAsia" w:eastAsiaTheme="majorEastAsia" w:hAnsiTheme="majorEastAsia" w:hint="eastAsia"/>
          <w:sz w:val="24"/>
          <w:szCs w:val="24"/>
        </w:rPr>
        <w:t>毛利率波动主要系</w:t>
      </w:r>
      <w:r w:rsidR="00A40549">
        <w:rPr>
          <w:rFonts w:asciiTheme="majorEastAsia" w:eastAsiaTheme="majorEastAsia" w:hAnsiTheme="majorEastAsia" w:hint="eastAsia"/>
          <w:sz w:val="24"/>
          <w:szCs w:val="24"/>
        </w:rPr>
        <w:t>本期</w:t>
      </w:r>
      <w:r w:rsidRPr="00F761D9">
        <w:rPr>
          <w:rFonts w:asciiTheme="majorEastAsia" w:eastAsiaTheme="majorEastAsia" w:hAnsiTheme="majorEastAsia" w:hint="eastAsia"/>
          <w:sz w:val="24"/>
          <w:szCs w:val="24"/>
        </w:rPr>
        <w:t>毛利率相对较低的眼膜等引流品销售</w:t>
      </w:r>
      <w:r w:rsidR="00A40549" w:rsidRPr="00A40549">
        <w:rPr>
          <w:rFonts w:asciiTheme="majorEastAsia" w:eastAsiaTheme="majorEastAsia" w:hAnsiTheme="majorEastAsia" w:hint="eastAsia"/>
          <w:sz w:val="24"/>
          <w:szCs w:val="24"/>
        </w:rPr>
        <w:t>占比提升</w:t>
      </w:r>
      <w:r w:rsidRPr="00F761D9">
        <w:rPr>
          <w:rFonts w:asciiTheme="majorEastAsia" w:eastAsiaTheme="majorEastAsia" w:hAnsiTheme="majorEastAsia" w:hint="eastAsia"/>
          <w:sz w:val="24"/>
          <w:szCs w:val="24"/>
        </w:rPr>
        <w:t>，同时公司</w:t>
      </w:r>
      <w:r w:rsidR="00A40549" w:rsidRPr="00A40549">
        <w:rPr>
          <w:rFonts w:asciiTheme="majorEastAsia" w:eastAsiaTheme="majorEastAsia" w:hAnsiTheme="majorEastAsia" w:hint="eastAsia"/>
          <w:sz w:val="24"/>
          <w:szCs w:val="24"/>
        </w:rPr>
        <w:t>为拓展市场加大</w:t>
      </w:r>
      <w:proofErr w:type="gramStart"/>
      <w:r w:rsidR="00A40549" w:rsidRPr="00A40549">
        <w:rPr>
          <w:rFonts w:asciiTheme="majorEastAsia" w:eastAsiaTheme="majorEastAsia" w:hAnsiTheme="majorEastAsia" w:hint="eastAsia"/>
          <w:sz w:val="24"/>
          <w:szCs w:val="24"/>
        </w:rPr>
        <w:t>了派样纳新</w:t>
      </w:r>
      <w:proofErr w:type="gramEnd"/>
      <w:r w:rsidR="00A40549" w:rsidRPr="00A40549">
        <w:rPr>
          <w:rFonts w:asciiTheme="majorEastAsia" w:eastAsiaTheme="majorEastAsia" w:hAnsiTheme="majorEastAsia" w:hint="eastAsia"/>
          <w:sz w:val="24"/>
          <w:szCs w:val="24"/>
        </w:rPr>
        <w:t>投入所致</w:t>
      </w:r>
      <w:r w:rsidRPr="00F761D9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370A58" w:rsidRPr="00370A58">
        <w:rPr>
          <w:rFonts w:asciiTheme="majorEastAsia" w:eastAsiaTheme="majorEastAsia" w:hAnsiTheme="majorEastAsia" w:hint="eastAsia"/>
          <w:sz w:val="24"/>
          <w:szCs w:val="24"/>
        </w:rPr>
        <w:t>相较于2025年毛利率74.29%</w:t>
      </w:r>
      <w:r w:rsidR="00370A58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370A58" w:rsidRPr="00370A58">
        <w:rPr>
          <w:rFonts w:asciiTheme="majorEastAsia" w:eastAsiaTheme="majorEastAsia" w:hAnsiTheme="majorEastAsia" w:hint="eastAsia"/>
          <w:sz w:val="24"/>
          <w:szCs w:val="24"/>
        </w:rPr>
        <w:t>2024年毛利率73.7</w:t>
      </w:r>
      <w:r w:rsidR="00370A58">
        <w:rPr>
          <w:rFonts w:asciiTheme="majorEastAsia" w:eastAsiaTheme="majorEastAsia" w:hAnsiTheme="majorEastAsia" w:hint="eastAsia"/>
          <w:sz w:val="24"/>
          <w:szCs w:val="24"/>
        </w:rPr>
        <w:t>0</w:t>
      </w:r>
      <w:r w:rsidR="00370A58" w:rsidRPr="00370A58">
        <w:rPr>
          <w:rFonts w:asciiTheme="majorEastAsia" w:eastAsiaTheme="majorEastAsia" w:hAnsiTheme="majorEastAsia" w:hint="eastAsia"/>
          <w:sz w:val="24"/>
          <w:szCs w:val="24"/>
        </w:rPr>
        <w:t>%</w:t>
      </w:r>
      <w:r w:rsidR="00370A58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370A58" w:rsidRPr="00370A58">
        <w:rPr>
          <w:rFonts w:asciiTheme="majorEastAsia" w:eastAsiaTheme="majorEastAsia" w:hAnsiTheme="majorEastAsia" w:hint="eastAsia"/>
          <w:sz w:val="24"/>
          <w:szCs w:val="24"/>
        </w:rPr>
        <w:t>公司</w:t>
      </w:r>
      <w:r w:rsidR="00370A58">
        <w:rPr>
          <w:rFonts w:asciiTheme="majorEastAsia" w:eastAsiaTheme="majorEastAsia" w:hAnsiTheme="majorEastAsia" w:hint="eastAsia"/>
          <w:sz w:val="24"/>
          <w:szCs w:val="24"/>
        </w:rPr>
        <w:t>Q1</w:t>
      </w:r>
      <w:r w:rsidR="00370A58" w:rsidRPr="00370A58">
        <w:rPr>
          <w:rFonts w:asciiTheme="majorEastAsia" w:eastAsiaTheme="majorEastAsia" w:hAnsiTheme="majorEastAsia" w:hint="eastAsia"/>
          <w:sz w:val="24"/>
          <w:szCs w:val="24"/>
        </w:rPr>
        <w:t>毛利率处于稳健水平。</w:t>
      </w:r>
      <w:r w:rsidR="00A40549" w:rsidRPr="00A40549">
        <w:rPr>
          <w:rFonts w:asciiTheme="majorEastAsia" w:eastAsiaTheme="majorEastAsia" w:hAnsiTheme="majorEastAsia" w:hint="eastAsia"/>
          <w:sz w:val="24"/>
          <w:szCs w:val="24"/>
        </w:rPr>
        <w:t>一季度</w:t>
      </w:r>
      <w:r w:rsidR="00A40549">
        <w:rPr>
          <w:rFonts w:asciiTheme="majorEastAsia" w:eastAsiaTheme="majorEastAsia" w:hAnsiTheme="majorEastAsia" w:hint="eastAsia"/>
          <w:sz w:val="24"/>
          <w:szCs w:val="24"/>
        </w:rPr>
        <w:t>，公司</w:t>
      </w:r>
      <w:r w:rsidR="00A40549" w:rsidRPr="00A40549">
        <w:rPr>
          <w:rFonts w:asciiTheme="majorEastAsia" w:eastAsiaTheme="majorEastAsia" w:hAnsiTheme="majorEastAsia" w:hint="eastAsia"/>
          <w:sz w:val="24"/>
          <w:szCs w:val="24"/>
        </w:rPr>
        <w:t>实现</w:t>
      </w:r>
      <w:r w:rsidRPr="00F761D9">
        <w:rPr>
          <w:rFonts w:asciiTheme="majorEastAsia" w:eastAsiaTheme="majorEastAsia" w:hAnsiTheme="majorEastAsia" w:hint="eastAsia"/>
          <w:sz w:val="24"/>
          <w:szCs w:val="24"/>
        </w:rPr>
        <w:t>归属于上市公司股东的净利润1.01亿元，净利润率为11.46%</w:t>
      </w:r>
      <w:r w:rsidR="00A40549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A40549" w:rsidRPr="00A40549">
        <w:rPr>
          <w:rFonts w:asciiTheme="majorEastAsia" w:eastAsiaTheme="majorEastAsia" w:hAnsiTheme="majorEastAsia" w:hint="eastAsia"/>
          <w:sz w:val="24"/>
          <w:szCs w:val="24"/>
        </w:rPr>
        <w:t>公司一季度净利润率已较2025年全年水平开启修复，未来将努力保持这一修复态势，并着力</w:t>
      </w:r>
      <w:proofErr w:type="gramStart"/>
      <w:r w:rsidR="00A40549" w:rsidRPr="00A40549">
        <w:rPr>
          <w:rFonts w:asciiTheme="majorEastAsia" w:eastAsiaTheme="majorEastAsia" w:hAnsiTheme="majorEastAsia" w:hint="eastAsia"/>
          <w:sz w:val="24"/>
          <w:szCs w:val="24"/>
        </w:rPr>
        <w:t>把控好全年</w:t>
      </w:r>
      <w:proofErr w:type="gramEnd"/>
      <w:r w:rsidR="00A40549" w:rsidRPr="00A40549">
        <w:rPr>
          <w:rFonts w:asciiTheme="majorEastAsia" w:eastAsiaTheme="majorEastAsia" w:hAnsiTheme="majorEastAsia" w:hint="eastAsia"/>
          <w:sz w:val="24"/>
          <w:szCs w:val="24"/>
        </w:rPr>
        <w:t>的净利润率水平</w:t>
      </w:r>
      <w:r w:rsidRPr="00F761D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3A1A0D31" w14:textId="3B2347A9" w:rsidR="00F761D9" w:rsidRPr="00F761D9" w:rsidRDefault="00A40549" w:rsidP="00F761D9">
      <w:pPr>
        <w:adjustRightInd w:val="0"/>
        <w:snapToGrid w:val="0"/>
        <w:spacing w:afterLines="50" w:after="120" w:line="43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分</w:t>
      </w:r>
      <w:r w:rsidRPr="00A40549">
        <w:rPr>
          <w:rFonts w:asciiTheme="majorEastAsia" w:eastAsiaTheme="majorEastAsia" w:hAnsiTheme="majorEastAsia" w:hint="eastAsia"/>
          <w:sz w:val="24"/>
          <w:szCs w:val="24"/>
        </w:rPr>
        <w:t>品类看，眼部类与</w:t>
      </w:r>
      <w:proofErr w:type="gramStart"/>
      <w:r w:rsidRPr="00A40549">
        <w:rPr>
          <w:rFonts w:asciiTheme="majorEastAsia" w:eastAsiaTheme="majorEastAsia" w:hAnsiTheme="majorEastAsia" w:hint="eastAsia"/>
          <w:sz w:val="24"/>
          <w:szCs w:val="24"/>
        </w:rPr>
        <w:t>洁肤类产品</w:t>
      </w:r>
      <w:proofErr w:type="gramEnd"/>
      <w:r w:rsidRPr="00A40549">
        <w:rPr>
          <w:rFonts w:asciiTheme="majorEastAsia" w:eastAsiaTheme="majorEastAsia" w:hAnsiTheme="majorEastAsia" w:hint="eastAsia"/>
          <w:sz w:val="24"/>
          <w:szCs w:val="24"/>
        </w:rPr>
        <w:t>表现突出，</w:t>
      </w:r>
      <w:r w:rsidR="00C800CC">
        <w:rPr>
          <w:rFonts w:asciiTheme="majorEastAsia" w:eastAsiaTheme="majorEastAsia" w:hAnsiTheme="majorEastAsia" w:hint="eastAsia"/>
          <w:sz w:val="24"/>
          <w:szCs w:val="24"/>
        </w:rPr>
        <w:t>收入</w:t>
      </w:r>
      <w:r w:rsidR="00F761D9" w:rsidRPr="00F761D9">
        <w:rPr>
          <w:rFonts w:asciiTheme="majorEastAsia" w:eastAsiaTheme="majorEastAsia" w:hAnsiTheme="majorEastAsia" w:hint="eastAsia"/>
          <w:sz w:val="24"/>
          <w:szCs w:val="24"/>
        </w:rPr>
        <w:t>分别同比增长15.87%</w:t>
      </w:r>
      <w:r>
        <w:rPr>
          <w:rFonts w:asciiTheme="majorEastAsia" w:eastAsiaTheme="majorEastAsia" w:hAnsiTheme="majorEastAsia" w:hint="eastAsia"/>
          <w:sz w:val="24"/>
          <w:szCs w:val="24"/>
        </w:rPr>
        <w:t>和</w:t>
      </w:r>
      <w:r w:rsidR="00F761D9" w:rsidRPr="00F761D9">
        <w:rPr>
          <w:rFonts w:asciiTheme="majorEastAsia" w:eastAsiaTheme="majorEastAsia" w:hAnsiTheme="majorEastAsia" w:hint="eastAsia"/>
          <w:sz w:val="24"/>
          <w:szCs w:val="24"/>
        </w:rPr>
        <w:t>23.06%</w:t>
      </w:r>
      <w:r>
        <w:rPr>
          <w:rFonts w:asciiTheme="majorEastAsia" w:eastAsiaTheme="majorEastAsia" w:hAnsiTheme="majorEastAsia" w:hint="eastAsia"/>
          <w:sz w:val="24"/>
          <w:szCs w:val="24"/>
        </w:rPr>
        <w:t>；</w:t>
      </w:r>
      <w:r w:rsidR="00F761D9" w:rsidRPr="00F761D9">
        <w:rPr>
          <w:rFonts w:asciiTheme="majorEastAsia" w:eastAsiaTheme="majorEastAsia" w:hAnsiTheme="majorEastAsia" w:hint="eastAsia"/>
          <w:sz w:val="24"/>
          <w:szCs w:val="24"/>
        </w:rPr>
        <w:t>护肤类收入</w:t>
      </w:r>
      <w:r w:rsidRPr="00A40549">
        <w:rPr>
          <w:rFonts w:asciiTheme="majorEastAsia" w:eastAsiaTheme="majorEastAsia" w:hAnsiTheme="majorEastAsia" w:hint="eastAsia"/>
          <w:sz w:val="24"/>
          <w:szCs w:val="24"/>
        </w:rPr>
        <w:t>与去年同期</w:t>
      </w:r>
      <w:r w:rsidR="00F761D9" w:rsidRPr="00F761D9">
        <w:rPr>
          <w:rFonts w:asciiTheme="majorEastAsia" w:eastAsiaTheme="majorEastAsia" w:hAnsiTheme="majorEastAsia" w:hint="eastAsia"/>
          <w:sz w:val="24"/>
          <w:szCs w:val="24"/>
        </w:rPr>
        <w:t>基本持平</w:t>
      </w:r>
      <w:r>
        <w:rPr>
          <w:rFonts w:asciiTheme="majorEastAsia" w:eastAsiaTheme="majorEastAsia" w:hAnsiTheme="majorEastAsia" w:hint="eastAsia"/>
          <w:sz w:val="24"/>
          <w:szCs w:val="24"/>
        </w:rPr>
        <w:t>；</w:t>
      </w:r>
      <w:r w:rsidRPr="00A40549">
        <w:rPr>
          <w:rFonts w:asciiTheme="majorEastAsia" w:eastAsiaTheme="majorEastAsia" w:hAnsiTheme="majorEastAsia" w:hint="eastAsia"/>
          <w:sz w:val="24"/>
          <w:szCs w:val="24"/>
        </w:rPr>
        <w:t>美容及其他品类收入同比</w:t>
      </w:r>
      <w:r>
        <w:rPr>
          <w:rFonts w:asciiTheme="majorEastAsia" w:eastAsiaTheme="majorEastAsia" w:hAnsiTheme="majorEastAsia" w:hint="eastAsia"/>
          <w:sz w:val="24"/>
          <w:szCs w:val="24"/>
        </w:rPr>
        <w:t>略有</w:t>
      </w:r>
      <w:r w:rsidRPr="00A40549">
        <w:rPr>
          <w:rFonts w:asciiTheme="majorEastAsia" w:eastAsiaTheme="majorEastAsia" w:hAnsiTheme="majorEastAsia" w:hint="eastAsia"/>
          <w:sz w:val="24"/>
          <w:szCs w:val="24"/>
        </w:rPr>
        <w:t>下降</w:t>
      </w:r>
      <w:r w:rsidR="00F761D9" w:rsidRPr="00F761D9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A40549">
        <w:rPr>
          <w:rFonts w:asciiTheme="majorEastAsia" w:eastAsiaTheme="majorEastAsia" w:hAnsiTheme="majorEastAsia" w:hint="eastAsia"/>
          <w:sz w:val="24"/>
          <w:szCs w:val="24"/>
        </w:rPr>
        <w:t>产品方面，</w:t>
      </w:r>
      <w:proofErr w:type="gramStart"/>
      <w:r w:rsidR="00F761D9" w:rsidRPr="00F761D9">
        <w:rPr>
          <w:rFonts w:asciiTheme="majorEastAsia" w:eastAsiaTheme="majorEastAsia" w:hAnsiTheme="majorEastAsia" w:hint="eastAsia"/>
          <w:sz w:val="24"/>
          <w:szCs w:val="24"/>
        </w:rPr>
        <w:t>丸美双胶原</w:t>
      </w:r>
      <w:proofErr w:type="gramEnd"/>
      <w:r w:rsidR="00F761D9" w:rsidRPr="00F761D9">
        <w:rPr>
          <w:rFonts w:asciiTheme="majorEastAsia" w:eastAsiaTheme="majorEastAsia" w:hAnsiTheme="majorEastAsia" w:hint="eastAsia"/>
          <w:sz w:val="24"/>
          <w:szCs w:val="24"/>
        </w:rPr>
        <w:t>系列和小红笔系列</w:t>
      </w:r>
      <w:r w:rsidRPr="00A40549">
        <w:rPr>
          <w:rFonts w:asciiTheme="majorEastAsia" w:eastAsiaTheme="majorEastAsia" w:hAnsiTheme="majorEastAsia" w:hint="eastAsia"/>
          <w:sz w:val="24"/>
          <w:szCs w:val="24"/>
        </w:rPr>
        <w:t>延续了稳健的市场表现</w:t>
      </w:r>
      <w:r w:rsidR="00F761D9" w:rsidRPr="00F761D9">
        <w:rPr>
          <w:rFonts w:asciiTheme="majorEastAsia" w:eastAsiaTheme="majorEastAsia" w:hAnsiTheme="majorEastAsia" w:hint="eastAsia"/>
          <w:sz w:val="24"/>
          <w:szCs w:val="24"/>
        </w:rPr>
        <w:t>，新升级的四抗</w:t>
      </w:r>
      <w:proofErr w:type="gramStart"/>
      <w:r w:rsidR="00F761D9" w:rsidRPr="00F761D9">
        <w:rPr>
          <w:rFonts w:asciiTheme="majorEastAsia" w:eastAsiaTheme="majorEastAsia" w:hAnsiTheme="majorEastAsia" w:hint="eastAsia"/>
          <w:sz w:val="24"/>
          <w:szCs w:val="24"/>
        </w:rPr>
        <w:t>焕亮系列</w:t>
      </w:r>
      <w:proofErr w:type="gramEnd"/>
      <w:r w:rsidR="00F761D9" w:rsidRPr="00F761D9">
        <w:rPr>
          <w:rFonts w:asciiTheme="majorEastAsia" w:eastAsiaTheme="majorEastAsia" w:hAnsiTheme="majorEastAsia" w:hint="eastAsia"/>
          <w:sz w:val="24"/>
          <w:szCs w:val="24"/>
        </w:rPr>
        <w:t>水乳</w:t>
      </w:r>
      <w:r w:rsidRPr="00A40549">
        <w:rPr>
          <w:rFonts w:asciiTheme="majorEastAsia" w:eastAsiaTheme="majorEastAsia" w:hAnsiTheme="majorEastAsia" w:hint="eastAsia"/>
          <w:sz w:val="24"/>
          <w:szCs w:val="24"/>
        </w:rPr>
        <w:t>表现</w:t>
      </w:r>
      <w:r w:rsidR="00F761D9" w:rsidRPr="00F761D9">
        <w:rPr>
          <w:rFonts w:asciiTheme="majorEastAsia" w:eastAsiaTheme="majorEastAsia" w:hAnsiTheme="majorEastAsia" w:hint="eastAsia"/>
          <w:sz w:val="24"/>
          <w:szCs w:val="24"/>
        </w:rPr>
        <w:t>亮眼。</w:t>
      </w:r>
    </w:p>
    <w:p w14:paraId="6F4AF489" w14:textId="0BAE891A" w:rsidR="00F761D9" w:rsidRDefault="00F761D9" w:rsidP="00F761D9">
      <w:pPr>
        <w:adjustRightInd w:val="0"/>
        <w:snapToGrid w:val="0"/>
        <w:spacing w:afterLines="50" w:after="120" w:line="43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F761D9">
        <w:rPr>
          <w:rFonts w:asciiTheme="majorEastAsia" w:eastAsiaTheme="majorEastAsia" w:hAnsiTheme="majorEastAsia" w:hint="eastAsia"/>
          <w:sz w:val="24"/>
          <w:szCs w:val="24"/>
        </w:rPr>
        <w:t>运营方面，应收账款周转天数同比减少至3.</w:t>
      </w:r>
      <w:r w:rsidR="00F833EB">
        <w:rPr>
          <w:rFonts w:asciiTheme="majorEastAsia" w:eastAsiaTheme="majorEastAsia" w:hAnsiTheme="majorEastAsia" w:hint="eastAsia"/>
          <w:sz w:val="24"/>
          <w:szCs w:val="24"/>
        </w:rPr>
        <w:t>38</w:t>
      </w:r>
      <w:r w:rsidRPr="00F761D9">
        <w:rPr>
          <w:rFonts w:asciiTheme="majorEastAsia" w:eastAsiaTheme="majorEastAsia" w:hAnsiTheme="majorEastAsia" w:hint="eastAsia"/>
          <w:sz w:val="24"/>
          <w:szCs w:val="24"/>
        </w:rPr>
        <w:t>天</w:t>
      </w:r>
      <w:r w:rsidR="00A40549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F761D9">
        <w:rPr>
          <w:rFonts w:asciiTheme="majorEastAsia" w:eastAsiaTheme="majorEastAsia" w:hAnsiTheme="majorEastAsia" w:hint="eastAsia"/>
          <w:sz w:val="24"/>
          <w:szCs w:val="24"/>
        </w:rPr>
        <w:t>库存周转天数同比减少至89.32天，</w:t>
      </w:r>
      <w:r w:rsidR="00330C0B">
        <w:rPr>
          <w:rFonts w:asciiTheme="majorEastAsia" w:eastAsiaTheme="majorEastAsia" w:hAnsiTheme="majorEastAsia" w:hint="eastAsia"/>
          <w:sz w:val="24"/>
          <w:szCs w:val="24"/>
        </w:rPr>
        <w:t>运营</w:t>
      </w:r>
      <w:r w:rsidR="00A40549" w:rsidRPr="00A40549">
        <w:rPr>
          <w:rFonts w:asciiTheme="majorEastAsia" w:eastAsiaTheme="majorEastAsia" w:hAnsiTheme="majorEastAsia" w:hint="eastAsia"/>
          <w:sz w:val="24"/>
          <w:szCs w:val="24"/>
        </w:rPr>
        <w:t>效率提升，库存水平健康。公司整体营运指标保持良好运行状态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3005D97C" w14:textId="77777777" w:rsidR="003776B6" w:rsidRDefault="003776B6" w:rsidP="00F761D9">
      <w:pPr>
        <w:adjustRightInd w:val="0"/>
        <w:snapToGrid w:val="0"/>
        <w:spacing w:afterLines="50" w:after="120" w:line="43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</w:p>
    <w:p w14:paraId="096316AF" w14:textId="24F6E1EE" w:rsidR="00BF5C19" w:rsidRDefault="00BF5C19" w:rsidP="003776B6">
      <w:pPr>
        <w:adjustRightInd w:val="0"/>
        <w:snapToGrid w:val="0"/>
        <w:spacing w:beforeLines="100" w:before="240" w:afterLines="100" w:after="240" w:line="430" w:lineRule="exact"/>
        <w:ind w:firstLineChars="200" w:firstLine="482"/>
        <w:rPr>
          <w:rFonts w:ascii="宋体" w:eastAsia="宋体" w:hAnsi="宋体" w:cs="Arial" w:hint="eastAsia"/>
          <w:b/>
          <w:sz w:val="24"/>
          <w:szCs w:val="21"/>
        </w:rPr>
      </w:pPr>
      <w:r>
        <w:rPr>
          <w:rFonts w:ascii="宋体" w:eastAsia="宋体" w:hAnsi="宋体" w:cs="Arial" w:hint="eastAsia"/>
          <w:b/>
          <w:sz w:val="24"/>
          <w:szCs w:val="21"/>
        </w:rPr>
        <w:lastRenderedPageBreak/>
        <w:t>（二</w:t>
      </w:r>
      <w:r w:rsidRPr="002D7A35">
        <w:rPr>
          <w:rFonts w:ascii="宋体" w:eastAsia="宋体" w:hAnsi="宋体" w:cs="Arial" w:hint="eastAsia"/>
          <w:b/>
          <w:sz w:val="24"/>
          <w:szCs w:val="21"/>
        </w:rPr>
        <w:t>）管理</w:t>
      </w:r>
      <w:proofErr w:type="gramStart"/>
      <w:r w:rsidRPr="002D7A35">
        <w:rPr>
          <w:rFonts w:ascii="宋体" w:eastAsia="宋体" w:hAnsi="宋体" w:cs="Arial" w:hint="eastAsia"/>
          <w:b/>
          <w:sz w:val="24"/>
          <w:szCs w:val="21"/>
        </w:rPr>
        <w:t>层</w:t>
      </w:r>
      <w:r>
        <w:rPr>
          <w:rFonts w:ascii="宋体" w:eastAsia="宋体" w:hAnsi="宋体" w:cs="Arial" w:hint="eastAsia"/>
          <w:b/>
          <w:sz w:val="24"/>
          <w:szCs w:val="21"/>
        </w:rPr>
        <w:t>回答</w:t>
      </w:r>
      <w:proofErr w:type="gramEnd"/>
      <w:r>
        <w:rPr>
          <w:rFonts w:ascii="宋体" w:eastAsia="宋体" w:hAnsi="宋体" w:cs="Arial" w:hint="eastAsia"/>
          <w:b/>
          <w:sz w:val="24"/>
          <w:szCs w:val="21"/>
        </w:rPr>
        <w:t>投资者的提问</w:t>
      </w:r>
    </w:p>
    <w:p w14:paraId="253F7C69" w14:textId="5561F531" w:rsidR="00F761D9" w:rsidRPr="00F761D9" w:rsidRDefault="00F761D9" w:rsidP="000977C6">
      <w:pPr>
        <w:spacing w:beforeLines="50" w:before="120" w:afterLines="50" w:after="120" w:line="430" w:lineRule="exact"/>
        <w:ind w:firstLineChars="196" w:firstLine="472"/>
        <w:rPr>
          <w:rFonts w:ascii="宋体" w:eastAsia="宋体" w:hAnsi="宋体" w:hint="eastAsia"/>
          <w:b/>
          <w:bCs/>
          <w:sz w:val="24"/>
          <w:szCs w:val="24"/>
        </w:rPr>
      </w:pPr>
      <w:r w:rsidRPr="00F761D9">
        <w:rPr>
          <w:rFonts w:ascii="宋体" w:eastAsia="宋体" w:hAnsi="宋体" w:hint="eastAsia"/>
          <w:b/>
          <w:bCs/>
          <w:sz w:val="24"/>
          <w:szCs w:val="24"/>
        </w:rPr>
        <w:t>Q1、今年</w:t>
      </w:r>
      <w:r w:rsidR="00AB0861">
        <w:rPr>
          <w:rFonts w:ascii="宋体" w:eastAsia="宋体" w:hAnsi="宋体" w:hint="eastAsia"/>
          <w:b/>
          <w:bCs/>
          <w:sz w:val="24"/>
          <w:szCs w:val="24"/>
        </w:rPr>
        <w:t>一季度</w:t>
      </w:r>
      <w:proofErr w:type="gramStart"/>
      <w:r w:rsidRPr="00F761D9">
        <w:rPr>
          <w:rFonts w:ascii="宋体" w:eastAsia="宋体" w:hAnsi="宋体" w:hint="eastAsia"/>
          <w:b/>
          <w:bCs/>
          <w:sz w:val="24"/>
          <w:szCs w:val="24"/>
        </w:rPr>
        <w:t>自播达播及</w:t>
      </w:r>
      <w:proofErr w:type="gramEnd"/>
      <w:r w:rsidRPr="00F761D9">
        <w:rPr>
          <w:rFonts w:ascii="宋体" w:eastAsia="宋体" w:hAnsi="宋体" w:hint="eastAsia"/>
          <w:b/>
          <w:bCs/>
          <w:sz w:val="24"/>
          <w:szCs w:val="24"/>
        </w:rPr>
        <w:t>费用投放上有什么变化？</w:t>
      </w:r>
    </w:p>
    <w:p w14:paraId="1F814023" w14:textId="5CA7E2A5" w:rsidR="008A2F0F" w:rsidRDefault="00F761D9" w:rsidP="00F761D9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F761D9">
        <w:rPr>
          <w:rFonts w:ascii="宋体" w:eastAsia="宋体" w:hAnsi="宋体" w:hint="eastAsia"/>
          <w:sz w:val="24"/>
          <w:szCs w:val="24"/>
        </w:rPr>
        <w:t>A</w:t>
      </w:r>
      <w:r w:rsidR="008A2F0F">
        <w:rPr>
          <w:rFonts w:ascii="宋体" w:eastAsia="宋体" w:hAnsi="宋体" w:hint="eastAsia"/>
          <w:sz w:val="24"/>
          <w:szCs w:val="24"/>
        </w:rPr>
        <w:t>：</w:t>
      </w:r>
      <w:r w:rsidR="008A2F0F" w:rsidRPr="008A2F0F">
        <w:rPr>
          <w:rFonts w:ascii="宋体" w:eastAsia="宋体" w:hAnsi="宋体" w:hint="eastAsia"/>
          <w:sz w:val="24"/>
          <w:szCs w:val="24"/>
        </w:rPr>
        <w:t>202</w:t>
      </w:r>
      <w:r w:rsidR="008A2F0F">
        <w:rPr>
          <w:rFonts w:ascii="宋体" w:eastAsia="宋体" w:hAnsi="宋体" w:hint="eastAsia"/>
          <w:sz w:val="24"/>
          <w:szCs w:val="24"/>
        </w:rPr>
        <w:t>6</w:t>
      </w:r>
      <w:r w:rsidR="008A2F0F" w:rsidRPr="008A2F0F">
        <w:rPr>
          <w:rFonts w:ascii="宋体" w:eastAsia="宋体" w:hAnsi="宋体" w:hint="eastAsia"/>
          <w:sz w:val="24"/>
          <w:szCs w:val="24"/>
        </w:rPr>
        <w:t>年第一季度，公司经营呈现三大</w:t>
      </w:r>
      <w:r w:rsidR="00C800CC">
        <w:rPr>
          <w:rFonts w:ascii="宋体" w:eastAsia="宋体" w:hAnsi="宋体" w:hint="eastAsia"/>
          <w:sz w:val="24"/>
          <w:szCs w:val="24"/>
        </w:rPr>
        <w:t>特</w:t>
      </w:r>
      <w:r w:rsidR="008A2F0F" w:rsidRPr="008A2F0F">
        <w:rPr>
          <w:rFonts w:ascii="宋体" w:eastAsia="宋体" w:hAnsi="宋体" w:hint="eastAsia"/>
          <w:sz w:val="24"/>
          <w:szCs w:val="24"/>
        </w:rPr>
        <w:t>点：其一，净利润率</w:t>
      </w:r>
      <w:r w:rsidR="00FB2946">
        <w:rPr>
          <w:rFonts w:ascii="宋体" w:eastAsia="宋体" w:hAnsi="宋体" w:hint="eastAsia"/>
          <w:sz w:val="24"/>
          <w:szCs w:val="24"/>
        </w:rPr>
        <w:t>相</w:t>
      </w:r>
      <w:r w:rsidR="008A2F0F" w:rsidRPr="008A2F0F">
        <w:rPr>
          <w:rFonts w:ascii="宋体" w:eastAsia="宋体" w:hAnsi="宋体" w:hint="eastAsia"/>
          <w:sz w:val="24"/>
          <w:szCs w:val="24"/>
        </w:rPr>
        <w:t>比202</w:t>
      </w:r>
      <w:r w:rsidR="008A2F0F">
        <w:rPr>
          <w:rFonts w:ascii="宋体" w:eastAsia="宋体" w:hAnsi="宋体" w:hint="eastAsia"/>
          <w:sz w:val="24"/>
          <w:szCs w:val="24"/>
        </w:rPr>
        <w:t>5</w:t>
      </w:r>
      <w:r w:rsidR="008A2F0F" w:rsidRPr="008A2F0F">
        <w:rPr>
          <w:rFonts w:ascii="宋体" w:eastAsia="宋体" w:hAnsi="宋体" w:hint="eastAsia"/>
          <w:sz w:val="24"/>
          <w:szCs w:val="24"/>
        </w:rPr>
        <w:t>年实现显著修复；其二，线下渠道业务表现强劲，同比增长超过30%；其三，线上自播业务保持高速增长，</w:t>
      </w:r>
      <w:r w:rsidR="007E18D6">
        <w:rPr>
          <w:rFonts w:ascii="宋体" w:eastAsia="宋体" w:hAnsi="宋体" w:hint="eastAsia"/>
          <w:sz w:val="24"/>
          <w:szCs w:val="24"/>
        </w:rPr>
        <w:t>同比</w:t>
      </w:r>
      <w:r w:rsidR="008A2F0F" w:rsidRPr="008A2F0F">
        <w:rPr>
          <w:rFonts w:ascii="宋体" w:eastAsia="宋体" w:hAnsi="宋体" w:hint="eastAsia"/>
          <w:sz w:val="24"/>
          <w:szCs w:val="24"/>
        </w:rPr>
        <w:t>增幅约75%。同时，公司主动对部分效益不佳</w:t>
      </w:r>
      <w:proofErr w:type="gramStart"/>
      <w:r w:rsidR="008A2F0F" w:rsidRPr="008A2F0F">
        <w:rPr>
          <w:rFonts w:ascii="宋体" w:eastAsia="宋体" w:hAnsi="宋体" w:hint="eastAsia"/>
          <w:sz w:val="24"/>
          <w:szCs w:val="24"/>
        </w:rPr>
        <w:t>的达播业务</w:t>
      </w:r>
      <w:proofErr w:type="gramEnd"/>
      <w:r w:rsidR="008A2F0F" w:rsidRPr="008A2F0F">
        <w:rPr>
          <w:rFonts w:ascii="宋体" w:eastAsia="宋体" w:hAnsi="宋体" w:hint="eastAsia"/>
          <w:sz w:val="24"/>
          <w:szCs w:val="24"/>
        </w:rPr>
        <w:t>进行了战略性收缩，首次将自播</w:t>
      </w:r>
      <w:proofErr w:type="gramStart"/>
      <w:r w:rsidR="008A2F0F" w:rsidRPr="008A2F0F">
        <w:rPr>
          <w:rFonts w:ascii="宋体" w:eastAsia="宋体" w:hAnsi="宋体" w:hint="eastAsia"/>
          <w:sz w:val="24"/>
          <w:szCs w:val="24"/>
        </w:rPr>
        <w:t>与达播的</w:t>
      </w:r>
      <w:proofErr w:type="gramEnd"/>
      <w:r w:rsidR="008A2F0F" w:rsidRPr="008A2F0F">
        <w:rPr>
          <w:rFonts w:ascii="宋体" w:eastAsia="宋体" w:hAnsi="宋体" w:hint="eastAsia"/>
          <w:sz w:val="24"/>
          <w:szCs w:val="24"/>
        </w:rPr>
        <w:t>比例优化至6:4。</w:t>
      </w:r>
    </w:p>
    <w:p w14:paraId="44914A75" w14:textId="7C0DF1DB" w:rsidR="008A2F0F" w:rsidRDefault="008A2F0F" w:rsidP="00F761D9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8A2F0F">
        <w:rPr>
          <w:rFonts w:ascii="宋体" w:eastAsia="宋体" w:hAnsi="宋体" w:hint="eastAsia"/>
          <w:sz w:val="24"/>
          <w:szCs w:val="24"/>
        </w:rPr>
        <w:t>公司将坚持效益导向，对</w:t>
      </w:r>
      <w:r w:rsidR="00AB0861">
        <w:rPr>
          <w:rFonts w:ascii="宋体" w:eastAsia="宋体" w:hAnsi="宋体" w:hint="eastAsia"/>
          <w:sz w:val="24"/>
          <w:szCs w:val="24"/>
        </w:rPr>
        <w:t>不盈利</w:t>
      </w:r>
      <w:r w:rsidRPr="008A2F0F">
        <w:rPr>
          <w:rFonts w:ascii="宋体" w:eastAsia="宋体" w:hAnsi="宋体" w:hint="eastAsia"/>
          <w:sz w:val="24"/>
          <w:szCs w:val="24"/>
        </w:rPr>
        <w:t>的</w:t>
      </w:r>
      <w:proofErr w:type="gramStart"/>
      <w:r w:rsidRPr="008A2F0F">
        <w:rPr>
          <w:rFonts w:ascii="宋体" w:eastAsia="宋体" w:hAnsi="宋体" w:hint="eastAsia"/>
          <w:sz w:val="24"/>
          <w:szCs w:val="24"/>
        </w:rPr>
        <w:t>达播合作</w:t>
      </w:r>
      <w:proofErr w:type="gramEnd"/>
      <w:r w:rsidRPr="008A2F0F">
        <w:rPr>
          <w:rFonts w:ascii="宋体" w:eastAsia="宋体" w:hAnsi="宋体" w:hint="eastAsia"/>
          <w:sz w:val="24"/>
          <w:szCs w:val="24"/>
        </w:rPr>
        <w:t>进行收缩甚至停止，转而聚焦于能够实现盈利、有利于</w:t>
      </w:r>
      <w:proofErr w:type="gramStart"/>
      <w:r w:rsidRPr="008A2F0F">
        <w:rPr>
          <w:rFonts w:ascii="宋体" w:eastAsia="宋体" w:hAnsi="宋体" w:hint="eastAsia"/>
          <w:sz w:val="24"/>
          <w:szCs w:val="24"/>
        </w:rPr>
        <w:t>品牌破圈的优质达播资源</w:t>
      </w:r>
      <w:proofErr w:type="gramEnd"/>
      <w:r>
        <w:rPr>
          <w:rFonts w:ascii="宋体" w:eastAsia="宋体" w:hAnsi="宋体" w:hint="eastAsia"/>
          <w:sz w:val="24"/>
          <w:szCs w:val="24"/>
        </w:rPr>
        <w:t>，同时努力发展</w:t>
      </w:r>
      <w:r w:rsidRPr="008A2F0F">
        <w:rPr>
          <w:rFonts w:ascii="宋体" w:eastAsia="宋体" w:hAnsi="宋体" w:hint="eastAsia"/>
          <w:sz w:val="24"/>
          <w:szCs w:val="24"/>
        </w:rPr>
        <w:t>自播业务，</w:t>
      </w:r>
      <w:r w:rsidR="00893CF0">
        <w:rPr>
          <w:rFonts w:ascii="宋体" w:eastAsia="宋体" w:hAnsi="宋体" w:hint="eastAsia"/>
          <w:sz w:val="24"/>
          <w:szCs w:val="24"/>
        </w:rPr>
        <w:t>以</w:t>
      </w:r>
      <w:r w:rsidRPr="008A2F0F">
        <w:rPr>
          <w:rFonts w:ascii="宋体" w:eastAsia="宋体" w:hAnsi="宋体" w:hint="eastAsia"/>
          <w:sz w:val="24"/>
          <w:szCs w:val="24"/>
        </w:rPr>
        <w:t>维持自播</w:t>
      </w:r>
      <w:proofErr w:type="gramStart"/>
      <w:r w:rsidRPr="008A2F0F">
        <w:rPr>
          <w:rFonts w:ascii="宋体" w:eastAsia="宋体" w:hAnsi="宋体" w:hint="eastAsia"/>
          <w:sz w:val="24"/>
          <w:szCs w:val="24"/>
        </w:rPr>
        <w:t>与达播</w:t>
      </w:r>
      <w:proofErr w:type="gramEnd"/>
      <w:r w:rsidRPr="008A2F0F">
        <w:rPr>
          <w:rFonts w:ascii="宋体" w:eastAsia="宋体" w:hAnsi="宋体" w:hint="eastAsia"/>
          <w:sz w:val="24"/>
          <w:szCs w:val="24"/>
        </w:rPr>
        <w:t>6:4的良性比例结构。</w:t>
      </w:r>
    </w:p>
    <w:p w14:paraId="055E2366" w14:textId="29FE4BD4" w:rsidR="001A27F4" w:rsidRPr="00F761D9" w:rsidRDefault="001A27F4" w:rsidP="000977C6">
      <w:pPr>
        <w:spacing w:beforeLines="50" w:before="120" w:afterLines="50" w:after="120" w:line="430" w:lineRule="exact"/>
        <w:ind w:firstLineChars="196" w:firstLine="472"/>
        <w:rPr>
          <w:rFonts w:ascii="宋体" w:eastAsia="宋体" w:hAnsi="宋体" w:hint="eastAsia"/>
          <w:b/>
          <w:bCs/>
          <w:sz w:val="24"/>
          <w:szCs w:val="24"/>
        </w:rPr>
      </w:pPr>
      <w:r w:rsidRPr="00F761D9">
        <w:rPr>
          <w:rFonts w:ascii="宋体" w:eastAsia="宋体" w:hAnsi="宋体" w:hint="eastAsia"/>
          <w:b/>
          <w:bCs/>
          <w:sz w:val="24"/>
          <w:szCs w:val="24"/>
        </w:rPr>
        <w:t>Q</w:t>
      </w:r>
      <w:r w:rsidR="008A2F0F">
        <w:rPr>
          <w:rFonts w:ascii="宋体" w:eastAsia="宋体" w:hAnsi="宋体" w:hint="eastAsia"/>
          <w:b/>
          <w:bCs/>
          <w:sz w:val="24"/>
          <w:szCs w:val="24"/>
        </w:rPr>
        <w:t>2</w:t>
      </w:r>
      <w:r w:rsidRPr="00F761D9">
        <w:rPr>
          <w:rFonts w:ascii="宋体" w:eastAsia="宋体" w:hAnsi="宋体" w:hint="eastAsia"/>
          <w:b/>
          <w:bCs/>
          <w:sz w:val="24"/>
          <w:szCs w:val="24"/>
        </w:rPr>
        <w:t>、618有什么样的动作和期待？</w:t>
      </w:r>
    </w:p>
    <w:p w14:paraId="72067C76" w14:textId="739BF86F" w:rsidR="001A27F4" w:rsidRPr="00F761D9" w:rsidRDefault="001A27F4" w:rsidP="001A27F4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F761D9">
        <w:rPr>
          <w:rFonts w:ascii="宋体" w:eastAsia="宋体" w:hAnsi="宋体" w:hint="eastAsia"/>
          <w:sz w:val="24"/>
          <w:szCs w:val="24"/>
        </w:rPr>
        <w:t>A</w:t>
      </w:r>
      <w:r w:rsidR="00EF7199">
        <w:rPr>
          <w:rFonts w:ascii="宋体" w:eastAsia="宋体" w:hAnsi="宋体" w:hint="eastAsia"/>
          <w:sz w:val="24"/>
          <w:szCs w:val="24"/>
        </w:rPr>
        <w:t>：</w:t>
      </w:r>
      <w:r w:rsidR="00680660" w:rsidRPr="00EF7199">
        <w:rPr>
          <w:rFonts w:ascii="宋体" w:eastAsia="宋体" w:hAnsi="宋体" w:hint="eastAsia"/>
          <w:sz w:val="24"/>
          <w:szCs w:val="24"/>
        </w:rPr>
        <w:t>公司将4</w:t>
      </w:r>
      <w:r w:rsidR="00680660">
        <w:rPr>
          <w:rFonts w:ascii="宋体" w:eastAsia="宋体" w:hAnsi="宋体" w:hint="eastAsia"/>
          <w:sz w:val="24"/>
          <w:szCs w:val="24"/>
        </w:rPr>
        <w:t>-</w:t>
      </w:r>
      <w:r w:rsidR="00680660" w:rsidRPr="00EF7199">
        <w:rPr>
          <w:rFonts w:ascii="宋体" w:eastAsia="宋体" w:hAnsi="宋体" w:hint="eastAsia"/>
          <w:sz w:val="24"/>
          <w:szCs w:val="24"/>
        </w:rPr>
        <w:t>6月整体定义为“618鏖战期”，</w:t>
      </w:r>
      <w:r w:rsidR="00680660" w:rsidRPr="00F761D9">
        <w:rPr>
          <w:rFonts w:ascii="宋体" w:eastAsia="宋体" w:hAnsi="宋体" w:hint="eastAsia"/>
          <w:sz w:val="24"/>
          <w:szCs w:val="24"/>
        </w:rPr>
        <w:t>部署了充沛资源</w:t>
      </w:r>
      <w:r w:rsidR="00680660">
        <w:rPr>
          <w:rFonts w:ascii="宋体" w:eastAsia="宋体" w:hAnsi="宋体" w:hint="eastAsia"/>
          <w:sz w:val="24"/>
          <w:szCs w:val="24"/>
        </w:rPr>
        <w:t>，</w:t>
      </w:r>
      <w:r w:rsidR="00680660" w:rsidRPr="00EF7199">
        <w:rPr>
          <w:rFonts w:ascii="宋体" w:eastAsia="宋体" w:hAnsi="宋体" w:hint="eastAsia"/>
          <w:sz w:val="24"/>
          <w:szCs w:val="24"/>
        </w:rPr>
        <w:t>期间将密集开展一系列品牌建设与营销活动</w:t>
      </w:r>
      <w:r w:rsidR="00680660">
        <w:rPr>
          <w:rFonts w:ascii="宋体" w:eastAsia="宋体" w:hAnsi="宋体" w:hint="eastAsia"/>
          <w:sz w:val="24"/>
          <w:szCs w:val="24"/>
        </w:rPr>
        <w:t>。</w:t>
      </w:r>
      <w:r w:rsidR="00EF7199">
        <w:rPr>
          <w:rFonts w:ascii="宋体" w:eastAsia="宋体" w:hAnsi="宋体" w:hint="eastAsia"/>
          <w:sz w:val="24"/>
          <w:szCs w:val="24"/>
        </w:rPr>
        <w:t>丸</w:t>
      </w:r>
      <w:proofErr w:type="gramStart"/>
      <w:r w:rsidR="00EF7199">
        <w:rPr>
          <w:rFonts w:ascii="宋体" w:eastAsia="宋体" w:hAnsi="宋体" w:hint="eastAsia"/>
          <w:sz w:val="24"/>
          <w:szCs w:val="24"/>
        </w:rPr>
        <w:t>美品牌</w:t>
      </w:r>
      <w:proofErr w:type="gramEnd"/>
      <w:r w:rsidR="00680660">
        <w:rPr>
          <w:rFonts w:ascii="宋体" w:eastAsia="宋体" w:hAnsi="宋体" w:hint="eastAsia"/>
          <w:sz w:val="24"/>
          <w:szCs w:val="24"/>
        </w:rPr>
        <w:t>于</w:t>
      </w:r>
      <w:r w:rsidR="00EF7199" w:rsidRPr="00EF7199">
        <w:rPr>
          <w:rFonts w:ascii="宋体" w:eastAsia="宋体" w:hAnsi="宋体" w:hint="eastAsia"/>
          <w:sz w:val="24"/>
          <w:szCs w:val="24"/>
        </w:rPr>
        <w:t>4月20日举办</w:t>
      </w:r>
      <w:r w:rsidR="00680660">
        <w:rPr>
          <w:rFonts w:ascii="宋体" w:eastAsia="宋体" w:hAnsi="宋体" w:hint="eastAsia"/>
          <w:sz w:val="24"/>
          <w:szCs w:val="24"/>
        </w:rPr>
        <w:t>了</w:t>
      </w:r>
      <w:r w:rsidR="00EF7199">
        <w:rPr>
          <w:rFonts w:ascii="宋体" w:eastAsia="宋体" w:hAnsi="宋体" w:hint="eastAsia"/>
          <w:sz w:val="24"/>
          <w:szCs w:val="24"/>
        </w:rPr>
        <w:t>第六届重组胶原蛋白</w:t>
      </w:r>
      <w:r w:rsidR="00EF7199" w:rsidRPr="00EF7199">
        <w:rPr>
          <w:rFonts w:ascii="宋体" w:eastAsia="宋体" w:hAnsi="宋体" w:hint="eastAsia"/>
          <w:sz w:val="24"/>
          <w:szCs w:val="24"/>
        </w:rPr>
        <w:t>科学论坛</w:t>
      </w:r>
      <w:r w:rsidR="00EF7199">
        <w:rPr>
          <w:rFonts w:ascii="宋体" w:eastAsia="宋体" w:hAnsi="宋体" w:hint="eastAsia"/>
          <w:sz w:val="24"/>
          <w:szCs w:val="24"/>
        </w:rPr>
        <w:t>暨丸美胶原小金针精华3.0上新发布会</w:t>
      </w:r>
      <w:r w:rsidR="00EF7199" w:rsidRPr="00EF7199">
        <w:rPr>
          <w:rFonts w:ascii="宋体" w:eastAsia="宋体" w:hAnsi="宋体" w:hint="eastAsia"/>
          <w:sz w:val="24"/>
          <w:szCs w:val="24"/>
        </w:rPr>
        <w:t>、4月21日官宣</w:t>
      </w:r>
      <w:r w:rsidR="00680660">
        <w:rPr>
          <w:rFonts w:ascii="宋体" w:eastAsia="宋体" w:hAnsi="宋体" w:hint="eastAsia"/>
          <w:sz w:val="24"/>
          <w:szCs w:val="24"/>
        </w:rPr>
        <w:t>了</w:t>
      </w:r>
      <w:proofErr w:type="gramStart"/>
      <w:r w:rsidR="00A77D41">
        <w:rPr>
          <w:rFonts w:ascii="宋体" w:eastAsia="宋体" w:hAnsi="宋体" w:hint="eastAsia"/>
          <w:sz w:val="24"/>
          <w:szCs w:val="24"/>
        </w:rPr>
        <w:t>品牌大使</w:t>
      </w:r>
      <w:proofErr w:type="gramEnd"/>
      <w:r w:rsidR="00EF7199">
        <w:rPr>
          <w:rFonts w:ascii="宋体" w:eastAsia="宋体" w:hAnsi="宋体" w:hint="eastAsia"/>
          <w:sz w:val="24"/>
          <w:szCs w:val="24"/>
        </w:rPr>
        <w:t>颜安</w:t>
      </w:r>
      <w:r w:rsidR="00EF7199" w:rsidRPr="00EF7199">
        <w:rPr>
          <w:rFonts w:ascii="宋体" w:eastAsia="宋体" w:hAnsi="宋体" w:hint="eastAsia"/>
          <w:sz w:val="24"/>
          <w:szCs w:val="24"/>
        </w:rPr>
        <w:t>，</w:t>
      </w:r>
      <w:r w:rsidR="00EF7199">
        <w:rPr>
          <w:rFonts w:ascii="宋体" w:eastAsia="宋体" w:hAnsi="宋体" w:hint="eastAsia"/>
          <w:sz w:val="24"/>
          <w:szCs w:val="24"/>
        </w:rPr>
        <w:t>后续</w:t>
      </w:r>
      <w:r w:rsidR="00192121">
        <w:rPr>
          <w:rFonts w:ascii="宋体" w:eastAsia="宋体" w:hAnsi="宋体" w:hint="eastAsia"/>
          <w:sz w:val="24"/>
          <w:szCs w:val="24"/>
        </w:rPr>
        <w:t>还有</w:t>
      </w:r>
      <w:r w:rsidR="00EF7199" w:rsidRPr="00EF7199">
        <w:rPr>
          <w:rFonts w:ascii="宋体" w:eastAsia="宋体" w:hAnsi="宋体" w:hint="eastAsia"/>
          <w:sz w:val="24"/>
          <w:szCs w:val="24"/>
        </w:rPr>
        <w:t>代言人</w:t>
      </w:r>
      <w:r w:rsidR="009917A2">
        <w:rPr>
          <w:rFonts w:ascii="宋体" w:eastAsia="宋体" w:hAnsi="宋体" w:hint="eastAsia"/>
          <w:sz w:val="24"/>
          <w:szCs w:val="24"/>
        </w:rPr>
        <w:t>活动及</w:t>
      </w:r>
      <w:r w:rsidR="00537486">
        <w:rPr>
          <w:rFonts w:ascii="宋体" w:eastAsia="宋体" w:hAnsi="宋体" w:hint="eastAsia"/>
          <w:sz w:val="24"/>
          <w:szCs w:val="24"/>
        </w:rPr>
        <w:t>趣味</w:t>
      </w:r>
      <w:r w:rsidR="00EF7199" w:rsidRPr="00EF7199">
        <w:rPr>
          <w:rFonts w:ascii="宋体" w:eastAsia="宋体" w:hAnsi="宋体" w:hint="eastAsia"/>
          <w:sz w:val="24"/>
          <w:szCs w:val="24"/>
        </w:rPr>
        <w:t>IP联名</w:t>
      </w:r>
      <w:r w:rsidR="00EF7199">
        <w:rPr>
          <w:rFonts w:ascii="宋体" w:eastAsia="宋体" w:hAnsi="宋体" w:hint="eastAsia"/>
          <w:sz w:val="24"/>
          <w:szCs w:val="24"/>
        </w:rPr>
        <w:t>等</w:t>
      </w:r>
      <w:r w:rsidR="00680660">
        <w:rPr>
          <w:rFonts w:ascii="宋体" w:eastAsia="宋体" w:hAnsi="宋体" w:hint="eastAsia"/>
          <w:sz w:val="24"/>
          <w:szCs w:val="24"/>
        </w:rPr>
        <w:t>；</w:t>
      </w:r>
      <w:proofErr w:type="gramStart"/>
      <w:r w:rsidR="00680660">
        <w:rPr>
          <w:rFonts w:ascii="宋体" w:eastAsia="宋体" w:hAnsi="宋体" w:hint="eastAsia"/>
          <w:sz w:val="24"/>
          <w:szCs w:val="24"/>
        </w:rPr>
        <w:t>恋火品牌</w:t>
      </w:r>
      <w:proofErr w:type="gramEnd"/>
      <w:r w:rsidR="00816234">
        <w:rPr>
          <w:rFonts w:ascii="宋体" w:eastAsia="宋体" w:hAnsi="宋体" w:hint="eastAsia"/>
          <w:sz w:val="24"/>
          <w:szCs w:val="24"/>
        </w:rPr>
        <w:t>也</w:t>
      </w:r>
      <w:r w:rsidR="00680660" w:rsidRPr="00F761D9">
        <w:rPr>
          <w:rFonts w:ascii="宋体" w:eastAsia="宋体" w:hAnsi="宋体" w:hint="eastAsia"/>
          <w:sz w:val="24"/>
          <w:szCs w:val="24"/>
        </w:rPr>
        <w:t>推出了“乐园”限定</w:t>
      </w:r>
      <w:r w:rsidR="00816234">
        <w:rPr>
          <w:rFonts w:ascii="宋体" w:eastAsia="宋体" w:hAnsi="宋体" w:hint="eastAsia"/>
          <w:sz w:val="24"/>
          <w:szCs w:val="24"/>
        </w:rPr>
        <w:t>IP</w:t>
      </w:r>
      <w:r w:rsidR="00680660" w:rsidRPr="00F761D9">
        <w:rPr>
          <w:rFonts w:ascii="宋体" w:eastAsia="宋体" w:hAnsi="宋体" w:hint="eastAsia"/>
          <w:sz w:val="24"/>
          <w:szCs w:val="24"/>
        </w:rPr>
        <w:t>。丸美和</w:t>
      </w:r>
      <w:proofErr w:type="gramStart"/>
      <w:r w:rsidR="00680660" w:rsidRPr="00F761D9">
        <w:rPr>
          <w:rFonts w:ascii="宋体" w:eastAsia="宋体" w:hAnsi="宋体" w:hint="eastAsia"/>
          <w:sz w:val="24"/>
          <w:szCs w:val="24"/>
        </w:rPr>
        <w:t>恋火</w:t>
      </w:r>
      <w:proofErr w:type="gramEnd"/>
      <w:r w:rsidR="00680660" w:rsidRPr="00F761D9">
        <w:rPr>
          <w:rFonts w:ascii="宋体" w:eastAsia="宋体" w:hAnsi="宋体" w:hint="eastAsia"/>
          <w:sz w:val="24"/>
          <w:szCs w:val="24"/>
        </w:rPr>
        <w:t>均参与了</w:t>
      </w:r>
      <w:r w:rsidR="00A77D41">
        <w:rPr>
          <w:rFonts w:ascii="宋体" w:eastAsia="宋体" w:hAnsi="宋体" w:hint="eastAsia"/>
          <w:sz w:val="24"/>
          <w:szCs w:val="24"/>
        </w:rPr>
        <w:t>湖南卫视青春合伙人开店创业类真人秀《</w:t>
      </w:r>
      <w:r w:rsidR="00680660" w:rsidRPr="00F761D9">
        <w:rPr>
          <w:rFonts w:ascii="宋体" w:eastAsia="宋体" w:hAnsi="宋体" w:hint="eastAsia"/>
          <w:sz w:val="24"/>
          <w:szCs w:val="24"/>
        </w:rPr>
        <w:t>合伙人</w:t>
      </w:r>
      <w:r w:rsidR="00A77D41">
        <w:rPr>
          <w:rFonts w:ascii="宋体" w:eastAsia="宋体" w:hAnsi="宋体" w:hint="eastAsia"/>
          <w:sz w:val="24"/>
          <w:szCs w:val="24"/>
        </w:rPr>
        <w:t>》</w:t>
      </w:r>
      <w:r w:rsidR="00680660" w:rsidRPr="00F761D9">
        <w:rPr>
          <w:rFonts w:ascii="宋体" w:eastAsia="宋体" w:hAnsi="宋体" w:hint="eastAsia"/>
          <w:sz w:val="24"/>
          <w:szCs w:val="24"/>
        </w:rPr>
        <w:t>。</w:t>
      </w:r>
      <w:r w:rsidR="00EF7199" w:rsidRPr="00EF7199">
        <w:rPr>
          <w:rFonts w:ascii="宋体" w:eastAsia="宋体" w:hAnsi="宋体" w:hint="eastAsia"/>
          <w:sz w:val="24"/>
          <w:szCs w:val="24"/>
        </w:rPr>
        <w:t>通过组合策略提升品牌声量与产品热度，</w:t>
      </w:r>
      <w:r w:rsidR="005149DA" w:rsidRPr="00F761D9">
        <w:rPr>
          <w:rFonts w:ascii="宋体" w:eastAsia="宋体" w:hAnsi="宋体" w:hint="eastAsia"/>
          <w:sz w:val="24"/>
          <w:szCs w:val="24"/>
        </w:rPr>
        <w:t>助力</w:t>
      </w:r>
      <w:proofErr w:type="gramStart"/>
      <w:r w:rsidR="005149DA">
        <w:rPr>
          <w:rFonts w:ascii="宋体" w:eastAsia="宋体" w:hAnsi="宋体" w:hint="eastAsia"/>
          <w:sz w:val="24"/>
          <w:szCs w:val="24"/>
        </w:rPr>
        <w:t>品牌破圈与</w:t>
      </w:r>
      <w:proofErr w:type="gramEnd"/>
      <w:r w:rsidR="005149DA">
        <w:rPr>
          <w:rFonts w:ascii="宋体" w:eastAsia="宋体" w:hAnsi="宋体" w:hint="eastAsia"/>
          <w:sz w:val="24"/>
          <w:szCs w:val="24"/>
        </w:rPr>
        <w:t>转化</w:t>
      </w:r>
      <w:r w:rsidR="009917A2">
        <w:rPr>
          <w:rFonts w:ascii="宋体" w:eastAsia="宋体" w:hAnsi="宋体" w:hint="eastAsia"/>
          <w:sz w:val="24"/>
          <w:szCs w:val="24"/>
        </w:rPr>
        <w:t>。</w:t>
      </w:r>
      <w:r w:rsidRPr="00F761D9">
        <w:rPr>
          <w:rFonts w:ascii="宋体" w:eastAsia="宋体" w:hAnsi="宋体" w:hint="eastAsia"/>
          <w:sz w:val="24"/>
          <w:szCs w:val="24"/>
        </w:rPr>
        <w:t>公</w:t>
      </w:r>
      <w:r w:rsidR="005149DA">
        <w:rPr>
          <w:rFonts w:ascii="宋体" w:eastAsia="宋体" w:hAnsi="宋体" w:hint="eastAsia"/>
          <w:sz w:val="24"/>
          <w:szCs w:val="24"/>
        </w:rPr>
        <w:t>司希望在</w:t>
      </w:r>
      <w:proofErr w:type="gramStart"/>
      <w:r w:rsidR="005149DA">
        <w:rPr>
          <w:rFonts w:ascii="宋体" w:eastAsia="宋体" w:hAnsi="宋体" w:hint="eastAsia"/>
          <w:sz w:val="24"/>
          <w:szCs w:val="24"/>
        </w:rPr>
        <w:t>管</w:t>
      </w:r>
      <w:r w:rsidRPr="00F761D9">
        <w:rPr>
          <w:rFonts w:ascii="宋体" w:eastAsia="宋体" w:hAnsi="宋体" w:hint="eastAsia"/>
          <w:sz w:val="24"/>
          <w:szCs w:val="24"/>
        </w:rPr>
        <w:t>控费比</w:t>
      </w:r>
      <w:proofErr w:type="gramEnd"/>
      <w:r w:rsidRPr="00F761D9">
        <w:rPr>
          <w:rFonts w:ascii="宋体" w:eastAsia="宋体" w:hAnsi="宋体" w:hint="eastAsia"/>
          <w:sz w:val="24"/>
          <w:szCs w:val="24"/>
        </w:rPr>
        <w:t>的前提下达成销售目标，</w:t>
      </w:r>
      <w:r w:rsidR="009917A2" w:rsidRPr="009917A2">
        <w:rPr>
          <w:rFonts w:ascii="宋体" w:eastAsia="宋体" w:hAnsi="宋体" w:hint="eastAsia"/>
          <w:sz w:val="24"/>
          <w:szCs w:val="24"/>
        </w:rPr>
        <w:t>确保品牌在追求增长的同时保障健康的经营质量</w:t>
      </w:r>
      <w:r w:rsidRPr="00F761D9">
        <w:rPr>
          <w:rFonts w:ascii="宋体" w:eastAsia="宋体" w:hAnsi="宋体" w:hint="eastAsia"/>
          <w:sz w:val="24"/>
          <w:szCs w:val="24"/>
        </w:rPr>
        <w:t>。</w:t>
      </w:r>
    </w:p>
    <w:p w14:paraId="6B89000B" w14:textId="4FEA9D9B" w:rsidR="001A27F4" w:rsidRPr="00F761D9" w:rsidRDefault="001A27F4" w:rsidP="000977C6">
      <w:pPr>
        <w:spacing w:beforeLines="50" w:before="120" w:afterLines="50" w:after="120" w:line="430" w:lineRule="exact"/>
        <w:ind w:firstLineChars="196" w:firstLine="472"/>
        <w:rPr>
          <w:rFonts w:ascii="宋体" w:eastAsia="宋体" w:hAnsi="宋体" w:hint="eastAsia"/>
          <w:b/>
          <w:bCs/>
          <w:sz w:val="24"/>
          <w:szCs w:val="24"/>
        </w:rPr>
      </w:pPr>
      <w:r w:rsidRPr="00F761D9">
        <w:rPr>
          <w:rFonts w:ascii="宋体" w:eastAsia="宋体" w:hAnsi="宋体" w:hint="eastAsia"/>
          <w:b/>
          <w:bCs/>
          <w:sz w:val="24"/>
          <w:szCs w:val="24"/>
        </w:rPr>
        <w:t>Q</w:t>
      </w:r>
      <w:r w:rsidR="009917A2">
        <w:rPr>
          <w:rFonts w:ascii="宋体" w:eastAsia="宋体" w:hAnsi="宋体" w:hint="eastAsia"/>
          <w:b/>
          <w:bCs/>
          <w:sz w:val="24"/>
          <w:szCs w:val="24"/>
        </w:rPr>
        <w:t>3</w:t>
      </w:r>
      <w:r w:rsidRPr="00F761D9">
        <w:rPr>
          <w:rFonts w:ascii="宋体" w:eastAsia="宋体" w:hAnsi="宋体" w:hint="eastAsia"/>
          <w:b/>
          <w:bCs/>
          <w:sz w:val="24"/>
          <w:szCs w:val="24"/>
        </w:rPr>
        <w:t>、丸</w:t>
      </w:r>
      <w:proofErr w:type="gramStart"/>
      <w:r w:rsidRPr="00F761D9">
        <w:rPr>
          <w:rFonts w:ascii="宋体" w:eastAsia="宋体" w:hAnsi="宋体" w:hint="eastAsia"/>
          <w:b/>
          <w:bCs/>
          <w:sz w:val="24"/>
          <w:szCs w:val="24"/>
        </w:rPr>
        <w:t>美主品牌</w:t>
      </w:r>
      <w:proofErr w:type="gramEnd"/>
      <w:r w:rsidRPr="00F761D9">
        <w:rPr>
          <w:rFonts w:ascii="宋体" w:eastAsia="宋体" w:hAnsi="宋体" w:hint="eastAsia"/>
          <w:b/>
          <w:bCs/>
          <w:sz w:val="24"/>
          <w:szCs w:val="24"/>
        </w:rPr>
        <w:t>的重点单</w:t>
      </w:r>
      <w:proofErr w:type="gramStart"/>
      <w:r w:rsidRPr="00F761D9">
        <w:rPr>
          <w:rFonts w:ascii="宋体" w:eastAsia="宋体" w:hAnsi="宋体" w:hint="eastAsia"/>
          <w:b/>
          <w:bCs/>
          <w:sz w:val="24"/>
          <w:szCs w:val="24"/>
        </w:rPr>
        <w:t>品</w:t>
      </w:r>
      <w:r w:rsidR="0006671B">
        <w:rPr>
          <w:rFonts w:ascii="宋体" w:eastAsia="宋体" w:hAnsi="宋体" w:hint="eastAsia"/>
          <w:b/>
          <w:bCs/>
          <w:sz w:val="24"/>
          <w:szCs w:val="24"/>
        </w:rPr>
        <w:t>结构</w:t>
      </w:r>
      <w:proofErr w:type="gramEnd"/>
      <w:r w:rsidR="0006671B">
        <w:rPr>
          <w:rFonts w:ascii="宋体" w:eastAsia="宋体" w:hAnsi="宋体" w:hint="eastAsia"/>
          <w:b/>
          <w:bCs/>
          <w:sz w:val="24"/>
          <w:szCs w:val="24"/>
        </w:rPr>
        <w:t>及趋势如何？</w:t>
      </w:r>
      <w:r w:rsidRPr="00F761D9">
        <w:rPr>
          <w:rFonts w:ascii="宋体" w:eastAsia="宋体" w:hAnsi="宋体" w:hint="eastAsia"/>
          <w:b/>
          <w:bCs/>
          <w:sz w:val="24"/>
          <w:szCs w:val="24"/>
        </w:rPr>
        <w:t>全年单品</w:t>
      </w:r>
      <w:r w:rsidR="0006671B">
        <w:rPr>
          <w:rFonts w:ascii="宋体" w:eastAsia="宋体" w:hAnsi="宋体" w:hint="eastAsia"/>
          <w:b/>
          <w:bCs/>
          <w:sz w:val="24"/>
          <w:szCs w:val="24"/>
        </w:rPr>
        <w:t>重点</w:t>
      </w:r>
      <w:r w:rsidRPr="00F761D9">
        <w:rPr>
          <w:rFonts w:ascii="宋体" w:eastAsia="宋体" w:hAnsi="宋体" w:hint="eastAsia"/>
          <w:b/>
          <w:bCs/>
          <w:sz w:val="24"/>
          <w:szCs w:val="24"/>
        </w:rPr>
        <w:t>和资源分配思路？</w:t>
      </w:r>
    </w:p>
    <w:p w14:paraId="31164CEB" w14:textId="569FC533" w:rsidR="009917A2" w:rsidRDefault="001A27F4" w:rsidP="009917A2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F761D9">
        <w:rPr>
          <w:rFonts w:ascii="宋体" w:eastAsia="宋体" w:hAnsi="宋体" w:hint="eastAsia"/>
          <w:sz w:val="24"/>
          <w:szCs w:val="24"/>
        </w:rPr>
        <w:t>A</w:t>
      </w:r>
      <w:r w:rsidR="009917A2">
        <w:rPr>
          <w:rFonts w:ascii="宋体" w:eastAsia="宋体" w:hAnsi="宋体" w:hint="eastAsia"/>
          <w:sz w:val="24"/>
          <w:szCs w:val="24"/>
        </w:rPr>
        <w:t>：</w:t>
      </w:r>
      <w:r w:rsidR="009917A2" w:rsidRPr="009917A2">
        <w:rPr>
          <w:rFonts w:ascii="宋体" w:eastAsia="宋体" w:hAnsi="宋体" w:hint="eastAsia"/>
          <w:sz w:val="24"/>
          <w:szCs w:val="24"/>
        </w:rPr>
        <w:t>2026年第一季度，丸</w:t>
      </w:r>
      <w:proofErr w:type="gramStart"/>
      <w:r w:rsidR="009917A2" w:rsidRPr="009917A2">
        <w:rPr>
          <w:rFonts w:ascii="宋体" w:eastAsia="宋体" w:hAnsi="宋体" w:hint="eastAsia"/>
          <w:sz w:val="24"/>
          <w:szCs w:val="24"/>
        </w:rPr>
        <w:t>美</w:t>
      </w:r>
      <w:r w:rsidR="00272E75">
        <w:rPr>
          <w:rFonts w:ascii="宋体" w:eastAsia="宋体" w:hAnsi="宋体" w:hint="eastAsia"/>
          <w:sz w:val="24"/>
          <w:szCs w:val="24"/>
        </w:rPr>
        <w:t>核心品</w:t>
      </w:r>
      <w:proofErr w:type="gramEnd"/>
      <w:r w:rsidR="000A0DAC">
        <w:rPr>
          <w:rFonts w:ascii="宋体" w:eastAsia="宋体" w:hAnsi="宋体" w:hint="eastAsia"/>
          <w:sz w:val="24"/>
          <w:szCs w:val="24"/>
        </w:rPr>
        <w:t>聚焦且突出，</w:t>
      </w:r>
      <w:r w:rsidR="00272E75">
        <w:rPr>
          <w:rFonts w:ascii="宋体" w:eastAsia="宋体" w:hAnsi="宋体" w:hint="eastAsia"/>
          <w:sz w:val="24"/>
          <w:szCs w:val="24"/>
        </w:rPr>
        <w:t>包括</w:t>
      </w:r>
      <w:proofErr w:type="gramStart"/>
      <w:r w:rsidR="00272E75">
        <w:rPr>
          <w:rFonts w:ascii="宋体" w:eastAsia="宋体" w:hAnsi="宋体" w:hint="eastAsia"/>
          <w:sz w:val="24"/>
          <w:szCs w:val="24"/>
        </w:rPr>
        <w:t>胜肽</w:t>
      </w:r>
      <w:r w:rsidR="00272E75" w:rsidRPr="009917A2">
        <w:rPr>
          <w:rFonts w:ascii="宋体" w:eastAsia="宋体" w:hAnsi="宋体" w:hint="eastAsia"/>
          <w:sz w:val="24"/>
          <w:szCs w:val="24"/>
        </w:rPr>
        <w:t>小红笔</w:t>
      </w:r>
      <w:proofErr w:type="gramEnd"/>
      <w:r w:rsidR="00272E75" w:rsidRPr="009917A2">
        <w:rPr>
          <w:rFonts w:ascii="宋体" w:eastAsia="宋体" w:hAnsi="宋体" w:hint="eastAsia"/>
          <w:sz w:val="24"/>
          <w:szCs w:val="24"/>
        </w:rPr>
        <w:t>眼霜、</w:t>
      </w:r>
      <w:r w:rsidR="00272E75">
        <w:rPr>
          <w:rFonts w:ascii="宋体" w:eastAsia="宋体" w:hAnsi="宋体" w:hint="eastAsia"/>
          <w:sz w:val="24"/>
          <w:szCs w:val="24"/>
        </w:rPr>
        <w:t>胶原</w:t>
      </w:r>
      <w:r w:rsidR="00272E75" w:rsidRPr="009917A2">
        <w:rPr>
          <w:rFonts w:ascii="宋体" w:eastAsia="宋体" w:hAnsi="宋体" w:hint="eastAsia"/>
          <w:sz w:val="24"/>
          <w:szCs w:val="24"/>
        </w:rPr>
        <w:t>小</w:t>
      </w:r>
      <w:proofErr w:type="gramStart"/>
      <w:r w:rsidR="00272E75" w:rsidRPr="009917A2">
        <w:rPr>
          <w:rFonts w:ascii="宋体" w:eastAsia="宋体" w:hAnsi="宋体" w:hint="eastAsia"/>
          <w:sz w:val="24"/>
          <w:szCs w:val="24"/>
        </w:rPr>
        <w:t>金针次抛精华</w:t>
      </w:r>
      <w:proofErr w:type="gramEnd"/>
      <w:r w:rsidR="00272E75" w:rsidRPr="009917A2">
        <w:rPr>
          <w:rFonts w:ascii="宋体" w:eastAsia="宋体" w:hAnsi="宋体" w:hint="eastAsia"/>
          <w:sz w:val="24"/>
          <w:szCs w:val="24"/>
        </w:rPr>
        <w:t>、</w:t>
      </w:r>
      <w:r w:rsidR="00272E75">
        <w:rPr>
          <w:rFonts w:ascii="宋体" w:eastAsia="宋体" w:hAnsi="宋体" w:hint="eastAsia"/>
          <w:sz w:val="24"/>
          <w:szCs w:val="24"/>
        </w:rPr>
        <w:t>胶原</w:t>
      </w:r>
      <w:r w:rsidR="00272E75" w:rsidRPr="009917A2">
        <w:rPr>
          <w:rFonts w:ascii="宋体" w:eastAsia="宋体" w:hAnsi="宋体" w:hint="eastAsia"/>
          <w:sz w:val="24"/>
          <w:szCs w:val="24"/>
        </w:rPr>
        <w:t>小金针面霜及</w:t>
      </w:r>
      <w:r w:rsidR="00272E75">
        <w:rPr>
          <w:rFonts w:ascii="宋体" w:eastAsia="宋体" w:hAnsi="宋体" w:hint="eastAsia"/>
          <w:sz w:val="24"/>
          <w:szCs w:val="24"/>
        </w:rPr>
        <w:t>超级</w:t>
      </w:r>
      <w:r w:rsidR="00272E75" w:rsidRPr="009917A2">
        <w:rPr>
          <w:rFonts w:ascii="宋体" w:eastAsia="宋体" w:hAnsi="宋体" w:hint="eastAsia"/>
          <w:sz w:val="24"/>
          <w:szCs w:val="24"/>
        </w:rPr>
        <w:t>面膜</w:t>
      </w:r>
      <w:r w:rsidR="00272E75">
        <w:rPr>
          <w:rFonts w:ascii="宋体" w:eastAsia="宋体" w:hAnsi="宋体" w:hint="eastAsia"/>
          <w:sz w:val="24"/>
          <w:szCs w:val="24"/>
        </w:rPr>
        <w:t>这</w:t>
      </w:r>
      <w:r w:rsidR="00272E75" w:rsidRPr="009917A2">
        <w:rPr>
          <w:rFonts w:ascii="宋体" w:eastAsia="宋体" w:hAnsi="宋体" w:hint="eastAsia"/>
          <w:sz w:val="24"/>
          <w:szCs w:val="24"/>
        </w:rPr>
        <w:t>四大单品</w:t>
      </w:r>
      <w:r w:rsidR="00272E75">
        <w:rPr>
          <w:rFonts w:ascii="宋体" w:eastAsia="宋体" w:hAnsi="宋体" w:hint="eastAsia"/>
          <w:sz w:val="24"/>
          <w:szCs w:val="24"/>
        </w:rPr>
        <w:t>，以及</w:t>
      </w:r>
      <w:r w:rsidR="00272E75" w:rsidRPr="009917A2">
        <w:rPr>
          <w:rFonts w:ascii="宋体" w:eastAsia="宋体" w:hAnsi="宋体" w:hint="eastAsia"/>
          <w:sz w:val="24"/>
          <w:szCs w:val="24"/>
        </w:rPr>
        <w:t>胶原套组、</w:t>
      </w:r>
      <w:proofErr w:type="gramStart"/>
      <w:r w:rsidR="00272E75" w:rsidRPr="009917A2">
        <w:rPr>
          <w:rFonts w:ascii="宋体" w:eastAsia="宋体" w:hAnsi="宋体" w:hint="eastAsia"/>
          <w:sz w:val="24"/>
          <w:szCs w:val="24"/>
        </w:rPr>
        <w:t>四抗套组</w:t>
      </w:r>
      <w:proofErr w:type="gramEnd"/>
      <w:r w:rsidR="00272E75" w:rsidRPr="009917A2">
        <w:rPr>
          <w:rFonts w:ascii="宋体" w:eastAsia="宋体" w:hAnsi="宋体" w:hint="eastAsia"/>
          <w:sz w:val="24"/>
          <w:szCs w:val="24"/>
        </w:rPr>
        <w:t>及小红笔胜</w:t>
      </w:r>
      <w:proofErr w:type="gramStart"/>
      <w:r w:rsidR="00272E75" w:rsidRPr="009917A2">
        <w:rPr>
          <w:rFonts w:ascii="宋体" w:eastAsia="宋体" w:hAnsi="宋体" w:hint="eastAsia"/>
          <w:sz w:val="24"/>
          <w:szCs w:val="24"/>
        </w:rPr>
        <w:t>肽套组</w:t>
      </w:r>
      <w:proofErr w:type="gramEnd"/>
      <w:r w:rsidR="00272E75">
        <w:rPr>
          <w:rFonts w:ascii="宋体" w:eastAsia="宋体" w:hAnsi="宋体" w:hint="eastAsia"/>
          <w:sz w:val="24"/>
          <w:szCs w:val="24"/>
        </w:rPr>
        <w:t>这三大</w:t>
      </w:r>
      <w:r w:rsidR="00272E75" w:rsidRPr="009917A2">
        <w:rPr>
          <w:rFonts w:ascii="宋体" w:eastAsia="宋体" w:hAnsi="宋体" w:hint="eastAsia"/>
          <w:sz w:val="24"/>
          <w:szCs w:val="24"/>
        </w:rPr>
        <w:t>套组</w:t>
      </w:r>
      <w:r w:rsidR="00272E75">
        <w:rPr>
          <w:rFonts w:ascii="宋体" w:eastAsia="宋体" w:hAnsi="宋体" w:hint="eastAsia"/>
          <w:sz w:val="24"/>
          <w:szCs w:val="24"/>
        </w:rPr>
        <w:t>，</w:t>
      </w:r>
      <w:r w:rsidR="009917A2" w:rsidRPr="009917A2">
        <w:rPr>
          <w:rFonts w:ascii="宋体" w:eastAsia="宋体" w:hAnsi="宋体" w:hint="eastAsia"/>
          <w:sz w:val="24"/>
          <w:szCs w:val="24"/>
        </w:rPr>
        <w:t>合计占</w:t>
      </w:r>
      <w:r w:rsidR="00272E75">
        <w:rPr>
          <w:rFonts w:ascii="宋体" w:eastAsia="宋体" w:hAnsi="宋体" w:hint="eastAsia"/>
          <w:sz w:val="24"/>
          <w:szCs w:val="24"/>
        </w:rPr>
        <w:t>其</w:t>
      </w:r>
      <w:r w:rsidR="009917A2" w:rsidRPr="009917A2">
        <w:rPr>
          <w:rFonts w:ascii="宋体" w:eastAsia="宋体" w:hAnsi="宋体" w:hint="eastAsia"/>
          <w:sz w:val="24"/>
          <w:szCs w:val="24"/>
        </w:rPr>
        <w:t>线上近70%。</w:t>
      </w:r>
    </w:p>
    <w:p w14:paraId="3CE3A3C2" w14:textId="2642BE0C" w:rsidR="009917A2" w:rsidRDefault="009917A2" w:rsidP="009917A2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9917A2">
        <w:rPr>
          <w:rFonts w:ascii="宋体" w:eastAsia="宋体" w:hAnsi="宋体" w:hint="eastAsia"/>
          <w:sz w:val="24"/>
          <w:szCs w:val="24"/>
        </w:rPr>
        <w:t>“大单品+大套组”产品矩阵有力强化了</w:t>
      </w:r>
      <w:r w:rsidR="00C80AA9">
        <w:rPr>
          <w:rFonts w:ascii="宋体" w:eastAsia="宋体" w:hAnsi="宋体" w:hint="eastAsia"/>
          <w:sz w:val="24"/>
          <w:szCs w:val="24"/>
        </w:rPr>
        <w:t>丸美</w:t>
      </w:r>
      <w:r w:rsidRPr="009917A2">
        <w:rPr>
          <w:rFonts w:ascii="宋体" w:eastAsia="宋体" w:hAnsi="宋体" w:hint="eastAsia"/>
          <w:sz w:val="24"/>
          <w:szCs w:val="24"/>
        </w:rPr>
        <w:t>品牌“眼部护理专家”与“</w:t>
      </w:r>
      <w:r w:rsidR="00D94073" w:rsidRPr="00D94073">
        <w:rPr>
          <w:rFonts w:ascii="宋体" w:eastAsia="宋体" w:hAnsi="宋体" w:hint="eastAsia"/>
          <w:sz w:val="24"/>
          <w:szCs w:val="24"/>
        </w:rPr>
        <w:t>抗皱淡纹</w:t>
      </w:r>
      <w:r w:rsidRPr="009917A2">
        <w:rPr>
          <w:rFonts w:ascii="宋体" w:eastAsia="宋体" w:hAnsi="宋体" w:hint="eastAsia"/>
          <w:sz w:val="24"/>
          <w:szCs w:val="24"/>
        </w:rPr>
        <w:t>大师”专业</w:t>
      </w:r>
      <w:r w:rsidR="000A0DAC">
        <w:rPr>
          <w:rFonts w:ascii="宋体" w:eastAsia="宋体" w:hAnsi="宋体" w:hint="eastAsia"/>
          <w:sz w:val="24"/>
          <w:szCs w:val="24"/>
        </w:rPr>
        <w:t>的品牌</w:t>
      </w:r>
      <w:r w:rsidRPr="009917A2">
        <w:rPr>
          <w:rFonts w:ascii="宋体" w:eastAsia="宋体" w:hAnsi="宋体" w:hint="eastAsia"/>
          <w:sz w:val="24"/>
          <w:szCs w:val="24"/>
        </w:rPr>
        <w:t>心智</w:t>
      </w:r>
      <w:r>
        <w:rPr>
          <w:rFonts w:ascii="宋体" w:eastAsia="宋体" w:hAnsi="宋体" w:hint="eastAsia"/>
          <w:sz w:val="24"/>
          <w:szCs w:val="24"/>
        </w:rPr>
        <w:t>，</w:t>
      </w:r>
      <w:r w:rsidRPr="009917A2">
        <w:rPr>
          <w:rFonts w:ascii="宋体" w:eastAsia="宋体" w:hAnsi="宋体" w:hint="eastAsia"/>
          <w:sz w:val="24"/>
          <w:szCs w:val="24"/>
        </w:rPr>
        <w:t>公司将</w:t>
      </w:r>
      <w:r w:rsidR="005C4B42">
        <w:rPr>
          <w:rFonts w:ascii="宋体" w:eastAsia="宋体" w:hAnsi="宋体" w:hint="eastAsia"/>
          <w:sz w:val="24"/>
          <w:szCs w:val="24"/>
        </w:rPr>
        <w:t>继续以核心品为抓手，</w:t>
      </w:r>
      <w:r w:rsidR="000A0DAC">
        <w:rPr>
          <w:rFonts w:ascii="宋体" w:eastAsia="宋体" w:hAnsi="宋体" w:hint="eastAsia"/>
          <w:sz w:val="24"/>
          <w:szCs w:val="24"/>
        </w:rPr>
        <w:t>推动</w:t>
      </w:r>
      <w:r w:rsidR="005C4B42">
        <w:rPr>
          <w:rFonts w:ascii="宋体" w:eastAsia="宋体" w:hAnsi="宋体" w:hint="eastAsia"/>
          <w:sz w:val="24"/>
          <w:szCs w:val="24"/>
        </w:rPr>
        <w:t>业绩</w:t>
      </w:r>
      <w:r w:rsidR="000A0DAC" w:rsidRPr="009917A2">
        <w:rPr>
          <w:rFonts w:ascii="宋体" w:eastAsia="宋体" w:hAnsi="宋体" w:hint="eastAsia"/>
          <w:sz w:val="24"/>
          <w:szCs w:val="24"/>
        </w:rPr>
        <w:t>增长</w:t>
      </w:r>
      <w:r w:rsidR="000A0DAC">
        <w:rPr>
          <w:rFonts w:ascii="宋体" w:eastAsia="宋体" w:hAnsi="宋体" w:hint="eastAsia"/>
          <w:sz w:val="24"/>
          <w:szCs w:val="24"/>
        </w:rPr>
        <w:t>的同时持续夯实品牌心智</w:t>
      </w:r>
      <w:r w:rsidRPr="009917A2">
        <w:rPr>
          <w:rFonts w:ascii="宋体" w:eastAsia="宋体" w:hAnsi="宋体" w:hint="eastAsia"/>
          <w:sz w:val="24"/>
          <w:szCs w:val="24"/>
        </w:rPr>
        <w:t>。</w:t>
      </w:r>
    </w:p>
    <w:p w14:paraId="7AC53943" w14:textId="0AC24220" w:rsidR="00F761D9" w:rsidRPr="00F761D9" w:rsidRDefault="00F761D9" w:rsidP="000977C6">
      <w:pPr>
        <w:spacing w:beforeLines="50" w:before="120" w:afterLines="50" w:after="120" w:line="430" w:lineRule="exact"/>
        <w:ind w:firstLineChars="196" w:firstLine="472"/>
        <w:rPr>
          <w:rFonts w:ascii="宋体" w:eastAsia="宋体" w:hAnsi="宋体" w:hint="eastAsia"/>
          <w:b/>
          <w:bCs/>
          <w:sz w:val="24"/>
          <w:szCs w:val="24"/>
        </w:rPr>
      </w:pPr>
      <w:r w:rsidRPr="00F761D9">
        <w:rPr>
          <w:rFonts w:ascii="宋体" w:eastAsia="宋体" w:hAnsi="宋体" w:hint="eastAsia"/>
          <w:b/>
          <w:bCs/>
          <w:sz w:val="24"/>
          <w:szCs w:val="24"/>
        </w:rPr>
        <w:t>Q</w:t>
      </w:r>
      <w:r w:rsidR="009917A2">
        <w:rPr>
          <w:rFonts w:ascii="宋体" w:eastAsia="宋体" w:hAnsi="宋体" w:hint="eastAsia"/>
          <w:b/>
          <w:bCs/>
          <w:sz w:val="24"/>
          <w:szCs w:val="24"/>
        </w:rPr>
        <w:t>4</w:t>
      </w:r>
      <w:r w:rsidRPr="00F761D9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D94073">
        <w:rPr>
          <w:rFonts w:ascii="宋体" w:eastAsia="宋体" w:hAnsi="宋体" w:hint="eastAsia"/>
          <w:b/>
          <w:bCs/>
          <w:sz w:val="24"/>
          <w:szCs w:val="24"/>
        </w:rPr>
        <w:t>公司在</w:t>
      </w:r>
      <w:r w:rsidRPr="00F761D9">
        <w:rPr>
          <w:rFonts w:ascii="宋体" w:eastAsia="宋体" w:hAnsi="宋体" w:hint="eastAsia"/>
          <w:b/>
          <w:bCs/>
          <w:sz w:val="24"/>
          <w:szCs w:val="24"/>
        </w:rPr>
        <w:t>胶原层面</w:t>
      </w:r>
      <w:r w:rsidR="00D94073">
        <w:rPr>
          <w:rFonts w:ascii="宋体" w:eastAsia="宋体" w:hAnsi="宋体" w:hint="eastAsia"/>
          <w:b/>
          <w:bCs/>
          <w:sz w:val="24"/>
          <w:szCs w:val="24"/>
        </w:rPr>
        <w:t>的</w:t>
      </w:r>
      <w:r w:rsidRPr="00F761D9">
        <w:rPr>
          <w:rFonts w:ascii="宋体" w:eastAsia="宋体" w:hAnsi="宋体" w:hint="eastAsia"/>
          <w:b/>
          <w:bCs/>
          <w:sz w:val="24"/>
          <w:szCs w:val="24"/>
        </w:rPr>
        <w:t>布局？</w:t>
      </w:r>
    </w:p>
    <w:p w14:paraId="37CA2776" w14:textId="7318A108" w:rsidR="0085037F" w:rsidRDefault="00F761D9" w:rsidP="0085037F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F761D9">
        <w:rPr>
          <w:rFonts w:ascii="宋体" w:eastAsia="宋体" w:hAnsi="宋体" w:hint="eastAsia"/>
          <w:sz w:val="24"/>
          <w:szCs w:val="24"/>
        </w:rPr>
        <w:t>A</w:t>
      </w:r>
      <w:r w:rsidR="009917A2">
        <w:rPr>
          <w:rFonts w:ascii="宋体" w:eastAsia="宋体" w:hAnsi="宋体" w:hint="eastAsia"/>
          <w:sz w:val="24"/>
          <w:szCs w:val="24"/>
        </w:rPr>
        <w:t>：</w:t>
      </w:r>
      <w:r w:rsidR="0085037F" w:rsidRPr="0085037F">
        <w:rPr>
          <w:rFonts w:ascii="宋体" w:eastAsia="宋体" w:hAnsi="宋体" w:hint="eastAsia"/>
          <w:sz w:val="24"/>
          <w:szCs w:val="24"/>
        </w:rPr>
        <w:t>公司在重组胶原蛋白领域进行了长期、深入且具有前瞻性的系统化布局，构建了清晰的技术演进路径与坚实的研发壁垒。我们的重组胶原蛋白技术已迭代至3.0阶段，每一代均实现了显著的科技突破</w:t>
      </w:r>
      <w:r w:rsidR="0085037F">
        <w:rPr>
          <w:rFonts w:ascii="宋体" w:eastAsia="宋体" w:hAnsi="宋体" w:hint="eastAsia"/>
          <w:sz w:val="24"/>
          <w:szCs w:val="24"/>
        </w:rPr>
        <w:t>。</w:t>
      </w:r>
      <w:r w:rsidR="0085037F" w:rsidRPr="0085037F">
        <w:rPr>
          <w:rFonts w:ascii="宋体" w:eastAsia="宋体" w:hAnsi="宋体" w:hint="eastAsia"/>
          <w:sz w:val="24"/>
          <w:szCs w:val="24"/>
        </w:rPr>
        <w:t>1.0阶段</w:t>
      </w:r>
      <w:r w:rsidR="00536F8A">
        <w:rPr>
          <w:rFonts w:ascii="宋体" w:eastAsia="宋体" w:hAnsi="宋体" w:hint="eastAsia"/>
          <w:sz w:val="24"/>
          <w:szCs w:val="24"/>
        </w:rPr>
        <w:t>三大一致，即</w:t>
      </w:r>
      <w:r w:rsidR="0085037F">
        <w:rPr>
          <w:rFonts w:ascii="宋体" w:eastAsia="宋体" w:hAnsi="宋体" w:hint="eastAsia"/>
          <w:sz w:val="24"/>
          <w:szCs w:val="24"/>
        </w:rPr>
        <w:t>与人胶原氨基酸序列一致、功能活性一致、三螺旋结构一致；</w:t>
      </w:r>
      <w:r w:rsidR="0085037F" w:rsidRPr="0085037F">
        <w:rPr>
          <w:rFonts w:ascii="宋体" w:eastAsia="宋体" w:hAnsi="宋体" w:hint="eastAsia"/>
          <w:sz w:val="24"/>
          <w:szCs w:val="24"/>
        </w:rPr>
        <w:t>2.0阶段将重组胶原蛋白与人胶原蛋白的相似性，提升至五</w:t>
      </w:r>
      <w:r w:rsidR="00536F8A">
        <w:rPr>
          <w:rFonts w:ascii="宋体" w:eastAsia="宋体" w:hAnsi="宋体" w:hint="eastAsia"/>
          <w:sz w:val="24"/>
          <w:szCs w:val="24"/>
        </w:rPr>
        <w:t>大一致</w:t>
      </w:r>
      <w:r w:rsidR="0085037F" w:rsidRPr="0085037F">
        <w:rPr>
          <w:rFonts w:ascii="宋体" w:eastAsia="宋体" w:hAnsi="宋体" w:hint="eastAsia"/>
          <w:sz w:val="24"/>
          <w:szCs w:val="24"/>
        </w:rPr>
        <w:t>，</w:t>
      </w:r>
      <w:r w:rsidR="0085037F">
        <w:rPr>
          <w:rFonts w:ascii="宋体" w:eastAsia="宋体" w:hAnsi="宋体" w:hint="eastAsia"/>
          <w:sz w:val="24"/>
          <w:szCs w:val="24"/>
        </w:rPr>
        <w:t>即增加与人胶原</w:t>
      </w:r>
      <w:r w:rsidR="00F916C4">
        <w:rPr>
          <w:rFonts w:ascii="宋体" w:eastAsia="宋体" w:hAnsi="宋体" w:hint="eastAsia"/>
          <w:sz w:val="24"/>
          <w:szCs w:val="24"/>
        </w:rPr>
        <w:t>的</w:t>
      </w:r>
      <w:r w:rsidR="00A77D41" w:rsidRPr="00AB48ED">
        <w:rPr>
          <w:rFonts w:ascii="宋体" w:eastAsia="宋体" w:hAnsi="宋体"/>
          <w:sz w:val="24"/>
          <w:szCs w:val="24"/>
        </w:rPr>
        <w:t>羟基化</w:t>
      </w:r>
      <w:r w:rsidR="00A77D41">
        <w:rPr>
          <w:rFonts w:ascii="宋体" w:eastAsia="宋体" w:hAnsi="宋体" w:hint="eastAsia"/>
          <w:sz w:val="24"/>
          <w:szCs w:val="24"/>
        </w:rPr>
        <w:t>程度</w:t>
      </w:r>
      <w:r w:rsidR="0085037F">
        <w:rPr>
          <w:rFonts w:ascii="宋体" w:eastAsia="宋体" w:hAnsi="宋体" w:hint="eastAsia"/>
          <w:sz w:val="24"/>
          <w:szCs w:val="24"/>
        </w:rPr>
        <w:t>一致、纤维形态一致，</w:t>
      </w:r>
      <w:r w:rsidR="0085037F" w:rsidRPr="0085037F">
        <w:rPr>
          <w:rFonts w:ascii="宋体" w:eastAsia="宋体" w:hAnsi="宋体" w:hint="eastAsia"/>
          <w:sz w:val="24"/>
          <w:szCs w:val="24"/>
        </w:rPr>
        <w:t>实现了</w:t>
      </w:r>
      <w:r w:rsidR="0085037F" w:rsidRPr="0085037F">
        <w:rPr>
          <w:rFonts w:ascii="宋体" w:eastAsia="宋体" w:hAnsi="宋体" w:hint="eastAsia"/>
          <w:sz w:val="24"/>
          <w:szCs w:val="24"/>
        </w:rPr>
        <w:lastRenderedPageBreak/>
        <w:t>更高程度的生物同源性</w:t>
      </w:r>
      <w:r w:rsidR="0056025A">
        <w:rPr>
          <w:rFonts w:ascii="宋体" w:eastAsia="宋体" w:hAnsi="宋体" w:hint="eastAsia"/>
          <w:sz w:val="24"/>
          <w:szCs w:val="24"/>
        </w:rPr>
        <w:t>。</w:t>
      </w:r>
      <w:r w:rsidR="0085037F" w:rsidRPr="0085037F">
        <w:rPr>
          <w:rFonts w:ascii="宋体" w:eastAsia="宋体" w:hAnsi="宋体" w:hint="eastAsia"/>
          <w:sz w:val="24"/>
          <w:szCs w:val="24"/>
        </w:rPr>
        <w:t>3.0阶段实现了两大维度的重要升级：</w:t>
      </w:r>
      <w:r w:rsidR="0056025A">
        <w:rPr>
          <w:rFonts w:ascii="宋体" w:eastAsia="宋体" w:hAnsi="宋体" w:hint="eastAsia"/>
          <w:sz w:val="24"/>
          <w:szCs w:val="24"/>
        </w:rPr>
        <w:t>一是</w:t>
      </w:r>
      <w:r w:rsidR="0085037F" w:rsidRPr="0085037F">
        <w:rPr>
          <w:rFonts w:ascii="宋体" w:eastAsia="宋体" w:hAnsi="宋体" w:hint="eastAsia"/>
          <w:sz w:val="24"/>
          <w:szCs w:val="24"/>
        </w:rPr>
        <w:t>应用了与</w:t>
      </w:r>
      <w:r w:rsidR="00A77D41" w:rsidRPr="00AB48ED">
        <w:rPr>
          <w:rFonts w:ascii="宋体" w:eastAsia="宋体" w:hAnsi="宋体"/>
          <w:sz w:val="24"/>
          <w:szCs w:val="24"/>
        </w:rPr>
        <w:t>昆明</w:t>
      </w:r>
      <w:r w:rsidR="0085037F" w:rsidRPr="0085037F">
        <w:rPr>
          <w:rFonts w:ascii="宋体" w:eastAsia="宋体" w:hAnsi="宋体" w:hint="eastAsia"/>
          <w:sz w:val="24"/>
          <w:szCs w:val="24"/>
        </w:rPr>
        <w:t>医科大学</w:t>
      </w:r>
      <w:r w:rsidR="00A77D41" w:rsidRPr="00AB48ED">
        <w:rPr>
          <w:rFonts w:ascii="宋体" w:eastAsia="宋体" w:hAnsi="宋体"/>
          <w:sz w:val="24"/>
          <w:szCs w:val="24"/>
        </w:rPr>
        <w:t>研究团队</w:t>
      </w:r>
      <w:r w:rsidR="0085037F" w:rsidRPr="0085037F">
        <w:rPr>
          <w:rFonts w:ascii="宋体" w:eastAsia="宋体" w:hAnsi="宋体" w:hint="eastAsia"/>
          <w:sz w:val="24"/>
          <w:szCs w:val="24"/>
        </w:rPr>
        <w:t>联合研发、历时三年攻关的“纳米压缩解压瞬吸技术”，显著提升了活性成分的透皮吸收效率，消费者体感验证更优</w:t>
      </w:r>
      <w:r w:rsidR="0085037F">
        <w:rPr>
          <w:rFonts w:ascii="宋体" w:eastAsia="宋体" w:hAnsi="宋体" w:hint="eastAsia"/>
          <w:sz w:val="24"/>
          <w:szCs w:val="24"/>
        </w:rPr>
        <w:t>；</w:t>
      </w:r>
      <w:r w:rsidR="0056025A">
        <w:rPr>
          <w:rFonts w:ascii="宋体" w:eastAsia="宋体" w:hAnsi="宋体" w:hint="eastAsia"/>
          <w:sz w:val="24"/>
          <w:szCs w:val="24"/>
        </w:rPr>
        <w:t>二是</w:t>
      </w:r>
      <w:r w:rsidR="0085037F" w:rsidRPr="0085037F">
        <w:rPr>
          <w:rFonts w:ascii="宋体" w:eastAsia="宋体" w:hAnsi="宋体" w:hint="eastAsia"/>
          <w:sz w:val="24"/>
          <w:szCs w:val="24"/>
        </w:rPr>
        <w:t>在原有“I型+III型</w:t>
      </w:r>
      <w:r w:rsidR="00227E71" w:rsidRPr="0085037F">
        <w:rPr>
          <w:rFonts w:ascii="宋体" w:eastAsia="宋体" w:hAnsi="宋体" w:hint="eastAsia"/>
          <w:sz w:val="24"/>
          <w:szCs w:val="24"/>
        </w:rPr>
        <w:t>”</w:t>
      </w:r>
      <w:r w:rsidR="0085037F" w:rsidRPr="0085037F">
        <w:rPr>
          <w:rFonts w:ascii="宋体" w:eastAsia="宋体" w:hAnsi="宋体" w:hint="eastAsia"/>
          <w:sz w:val="24"/>
          <w:szCs w:val="24"/>
        </w:rPr>
        <w:t>双胶原基础上，创新添加了</w:t>
      </w:r>
      <w:r w:rsidR="00A77D41">
        <w:rPr>
          <w:rFonts w:ascii="宋体" w:eastAsia="宋体" w:hAnsi="宋体" w:hint="eastAsia"/>
          <w:sz w:val="24"/>
          <w:szCs w:val="24"/>
        </w:rPr>
        <w:t>“</w:t>
      </w:r>
      <w:r w:rsidR="0085037F" w:rsidRPr="0085037F">
        <w:rPr>
          <w:rFonts w:ascii="宋体" w:eastAsia="宋体" w:hAnsi="宋体" w:hint="eastAsia"/>
          <w:sz w:val="24"/>
          <w:szCs w:val="24"/>
        </w:rPr>
        <w:t>IV型</w:t>
      </w:r>
      <w:r w:rsidR="00A77D41">
        <w:rPr>
          <w:rFonts w:ascii="宋体" w:eastAsia="宋体" w:hAnsi="宋体" w:hint="eastAsia"/>
          <w:sz w:val="24"/>
          <w:szCs w:val="24"/>
        </w:rPr>
        <w:t>+</w:t>
      </w:r>
      <w:r w:rsidR="0085037F" w:rsidRPr="0085037F">
        <w:rPr>
          <w:rFonts w:ascii="宋体" w:eastAsia="宋体" w:hAnsi="宋体" w:hint="eastAsia"/>
          <w:sz w:val="24"/>
          <w:szCs w:val="24"/>
        </w:rPr>
        <w:t>VII型</w:t>
      </w:r>
      <w:r w:rsidR="00A77D41">
        <w:rPr>
          <w:rFonts w:ascii="宋体" w:eastAsia="宋体" w:hAnsi="宋体" w:hint="eastAsia"/>
          <w:sz w:val="24"/>
          <w:szCs w:val="24"/>
        </w:rPr>
        <w:t>”的新型</w:t>
      </w:r>
      <w:r w:rsidR="0085037F" w:rsidRPr="0085037F">
        <w:rPr>
          <w:rFonts w:ascii="宋体" w:eastAsia="宋体" w:hAnsi="宋体" w:hint="eastAsia"/>
          <w:sz w:val="24"/>
          <w:szCs w:val="24"/>
        </w:rPr>
        <w:t>重组</w:t>
      </w:r>
      <w:r w:rsidR="00A77D41">
        <w:rPr>
          <w:rFonts w:ascii="宋体" w:eastAsia="宋体" w:hAnsi="宋体" w:hint="eastAsia"/>
          <w:sz w:val="24"/>
          <w:szCs w:val="24"/>
        </w:rPr>
        <w:t>双</w:t>
      </w:r>
      <w:r w:rsidR="0085037F" w:rsidRPr="0085037F">
        <w:rPr>
          <w:rFonts w:ascii="宋体" w:eastAsia="宋体" w:hAnsi="宋体" w:hint="eastAsia"/>
          <w:sz w:val="24"/>
          <w:szCs w:val="24"/>
        </w:rPr>
        <w:t>胶原蛋白。其中，IV型侧重于</w:t>
      </w:r>
      <w:r w:rsidR="0085037F">
        <w:rPr>
          <w:rFonts w:ascii="宋体" w:eastAsia="宋体" w:hAnsi="宋体" w:hint="eastAsia"/>
          <w:sz w:val="24"/>
          <w:szCs w:val="24"/>
        </w:rPr>
        <w:t>修复</w:t>
      </w:r>
      <w:r w:rsidR="0085037F" w:rsidRPr="0085037F">
        <w:rPr>
          <w:rFonts w:ascii="宋体" w:eastAsia="宋体" w:hAnsi="宋体" w:hint="eastAsia"/>
          <w:sz w:val="24"/>
          <w:szCs w:val="24"/>
        </w:rPr>
        <w:t>功效，VII型则致力于维护皮肤稳态，从而形成了功效更为全面、协同的“多胶原”复合体系。</w:t>
      </w:r>
      <w:r w:rsidR="0085037F" w:rsidRPr="00F761D9">
        <w:rPr>
          <w:rFonts w:ascii="宋体" w:eastAsia="宋体" w:hAnsi="宋体" w:hint="eastAsia"/>
          <w:sz w:val="24"/>
          <w:szCs w:val="24"/>
        </w:rPr>
        <w:t>这些都是持续研发带来的科技突破</w:t>
      </w:r>
      <w:r w:rsidR="0085037F">
        <w:rPr>
          <w:rFonts w:ascii="宋体" w:eastAsia="宋体" w:hAnsi="宋体" w:hint="eastAsia"/>
          <w:sz w:val="24"/>
          <w:szCs w:val="24"/>
        </w:rPr>
        <w:t>。</w:t>
      </w:r>
    </w:p>
    <w:p w14:paraId="439F82DE" w14:textId="7F4D5BC1" w:rsidR="001A27F4" w:rsidRPr="00F761D9" w:rsidRDefault="001A27F4" w:rsidP="000977C6">
      <w:pPr>
        <w:spacing w:beforeLines="50" w:before="120" w:afterLines="50" w:after="120" w:line="430" w:lineRule="exact"/>
        <w:ind w:firstLineChars="196" w:firstLine="472"/>
        <w:rPr>
          <w:rFonts w:ascii="宋体" w:eastAsia="宋体" w:hAnsi="宋体" w:hint="eastAsia"/>
          <w:b/>
          <w:bCs/>
          <w:sz w:val="24"/>
          <w:szCs w:val="24"/>
        </w:rPr>
      </w:pPr>
      <w:r w:rsidRPr="00F761D9">
        <w:rPr>
          <w:rFonts w:ascii="宋体" w:eastAsia="宋体" w:hAnsi="宋体" w:hint="eastAsia"/>
          <w:b/>
          <w:bCs/>
          <w:sz w:val="24"/>
          <w:szCs w:val="24"/>
        </w:rPr>
        <w:t>Q</w:t>
      </w:r>
      <w:r w:rsidR="0056025A">
        <w:rPr>
          <w:rFonts w:ascii="宋体" w:eastAsia="宋体" w:hAnsi="宋体" w:hint="eastAsia"/>
          <w:b/>
          <w:bCs/>
          <w:sz w:val="24"/>
          <w:szCs w:val="24"/>
        </w:rPr>
        <w:t>5</w:t>
      </w:r>
      <w:r w:rsidRPr="00F761D9">
        <w:rPr>
          <w:rFonts w:ascii="宋体" w:eastAsia="宋体" w:hAnsi="宋体" w:hint="eastAsia"/>
          <w:b/>
          <w:bCs/>
          <w:sz w:val="24"/>
          <w:szCs w:val="24"/>
        </w:rPr>
        <w:t>、像S</w:t>
      </w:r>
      <w:proofErr w:type="gramStart"/>
      <w:r w:rsidRPr="00F761D9">
        <w:rPr>
          <w:rFonts w:ascii="宋体" w:eastAsia="宋体" w:hAnsi="宋体" w:hint="eastAsia"/>
          <w:b/>
          <w:bCs/>
          <w:sz w:val="24"/>
          <w:szCs w:val="24"/>
        </w:rPr>
        <w:t>肽这样</w:t>
      </w:r>
      <w:proofErr w:type="gramEnd"/>
      <w:r w:rsidRPr="00F761D9">
        <w:rPr>
          <w:rFonts w:ascii="宋体" w:eastAsia="宋体" w:hAnsi="宋体" w:hint="eastAsia"/>
          <w:b/>
          <w:bCs/>
          <w:sz w:val="24"/>
          <w:szCs w:val="24"/>
        </w:rPr>
        <w:t>的新原料如何落地到产品？与胶原蛋白如何协同？出海规划？</w:t>
      </w:r>
    </w:p>
    <w:p w14:paraId="2810190F" w14:textId="2F6CC7C9" w:rsidR="0056025A" w:rsidRPr="0056025A" w:rsidRDefault="001A27F4" w:rsidP="0056025A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F761D9">
        <w:rPr>
          <w:rFonts w:ascii="宋体" w:eastAsia="宋体" w:hAnsi="宋体" w:hint="eastAsia"/>
          <w:sz w:val="24"/>
          <w:szCs w:val="24"/>
        </w:rPr>
        <w:t>A</w:t>
      </w:r>
      <w:r w:rsidR="0056025A">
        <w:rPr>
          <w:rFonts w:ascii="宋体" w:eastAsia="宋体" w:hAnsi="宋体" w:hint="eastAsia"/>
          <w:sz w:val="24"/>
          <w:szCs w:val="24"/>
        </w:rPr>
        <w:t>：</w:t>
      </w:r>
      <w:r w:rsidR="0056025A" w:rsidRPr="0056025A">
        <w:rPr>
          <w:rFonts w:ascii="宋体" w:eastAsia="宋体" w:hAnsi="宋体" w:hint="eastAsia"/>
          <w:sz w:val="24"/>
          <w:szCs w:val="24"/>
        </w:rPr>
        <w:t>公司高度重视核心原料的自主研发与高标准生产。早在2018年便设立基础研究中心，并于2021年成立了全资控股的拜斯特药业有限公司，以</w:t>
      </w:r>
      <w:proofErr w:type="gramStart"/>
      <w:r w:rsidR="0056025A" w:rsidRPr="0056025A">
        <w:rPr>
          <w:rFonts w:ascii="宋体" w:eastAsia="宋体" w:hAnsi="宋体" w:hint="eastAsia"/>
          <w:sz w:val="24"/>
          <w:szCs w:val="24"/>
        </w:rPr>
        <w:t>制药级</w:t>
      </w:r>
      <w:proofErr w:type="gramEnd"/>
      <w:r w:rsidR="0056025A" w:rsidRPr="0056025A">
        <w:rPr>
          <w:rFonts w:ascii="宋体" w:eastAsia="宋体" w:hAnsi="宋体" w:hint="eastAsia"/>
          <w:sz w:val="24"/>
          <w:szCs w:val="24"/>
        </w:rPr>
        <w:t>标准进行核心原料的生产，确保了从研发到量产的全链路自主可控与</w:t>
      </w:r>
      <w:r w:rsidR="0056025A">
        <w:rPr>
          <w:rFonts w:ascii="宋体" w:eastAsia="宋体" w:hAnsi="宋体" w:hint="eastAsia"/>
          <w:sz w:val="24"/>
          <w:szCs w:val="24"/>
        </w:rPr>
        <w:t>优秀</w:t>
      </w:r>
      <w:r w:rsidR="0056025A" w:rsidRPr="0056025A">
        <w:rPr>
          <w:rFonts w:ascii="宋体" w:eastAsia="宋体" w:hAnsi="宋体" w:hint="eastAsia"/>
          <w:sz w:val="24"/>
          <w:szCs w:val="24"/>
        </w:rPr>
        <w:t>品质。这一体系已在重组胶原蛋白等原料上得到验证。</w:t>
      </w:r>
    </w:p>
    <w:p w14:paraId="26AEA784" w14:textId="44A520E9" w:rsidR="0002542E" w:rsidRPr="00F761D9" w:rsidRDefault="00120118" w:rsidP="0002542E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6025A">
        <w:rPr>
          <w:rFonts w:ascii="宋体" w:eastAsia="宋体" w:hAnsi="宋体" w:hint="eastAsia"/>
          <w:sz w:val="24"/>
          <w:szCs w:val="24"/>
        </w:rPr>
        <w:t>肽</w:t>
      </w:r>
      <w:r>
        <w:rPr>
          <w:rFonts w:ascii="宋体" w:eastAsia="宋体" w:hAnsi="宋体" w:hint="eastAsia"/>
          <w:sz w:val="24"/>
          <w:szCs w:val="24"/>
        </w:rPr>
        <w:t>的半衰周期很短，</w:t>
      </w:r>
      <w:r w:rsidR="0056025A" w:rsidRPr="0056025A">
        <w:rPr>
          <w:rFonts w:ascii="宋体" w:eastAsia="宋体" w:hAnsi="宋体" w:hint="eastAsia"/>
          <w:sz w:val="24"/>
          <w:szCs w:val="24"/>
        </w:rPr>
        <w:t>公司</w:t>
      </w:r>
      <w:r w:rsidR="0002542E" w:rsidRPr="00F761D9">
        <w:rPr>
          <w:rFonts w:ascii="宋体" w:eastAsia="宋体" w:hAnsi="宋体" w:hint="eastAsia"/>
          <w:sz w:val="24"/>
          <w:szCs w:val="24"/>
        </w:rPr>
        <w:t>新获批的“S肽”原料将其半</w:t>
      </w:r>
      <w:proofErr w:type="gramStart"/>
      <w:r w:rsidR="0002542E" w:rsidRPr="00F761D9">
        <w:rPr>
          <w:rFonts w:ascii="宋体" w:eastAsia="宋体" w:hAnsi="宋体" w:hint="eastAsia"/>
          <w:sz w:val="24"/>
          <w:szCs w:val="24"/>
        </w:rPr>
        <w:t>衰</w:t>
      </w:r>
      <w:proofErr w:type="gramEnd"/>
      <w:r w:rsidR="0002542E" w:rsidRPr="00F761D9">
        <w:rPr>
          <w:rFonts w:ascii="宋体" w:eastAsia="宋体" w:hAnsi="宋体" w:hint="eastAsia"/>
          <w:sz w:val="24"/>
          <w:szCs w:val="24"/>
        </w:rPr>
        <w:t>周期从</w:t>
      </w:r>
      <w:proofErr w:type="gramStart"/>
      <w:r w:rsidR="0002542E" w:rsidRPr="00F761D9">
        <w:rPr>
          <w:rFonts w:ascii="宋体" w:eastAsia="宋体" w:hAnsi="宋体" w:hint="eastAsia"/>
          <w:sz w:val="24"/>
          <w:szCs w:val="24"/>
        </w:rPr>
        <w:t>分钟级延长</w:t>
      </w:r>
      <w:proofErr w:type="gramEnd"/>
      <w:r w:rsidR="0002542E" w:rsidRPr="00F761D9">
        <w:rPr>
          <w:rFonts w:ascii="宋体" w:eastAsia="宋体" w:hAnsi="宋体" w:hint="eastAsia"/>
          <w:sz w:val="24"/>
          <w:szCs w:val="24"/>
        </w:rPr>
        <w:t>至天级，功效更持久</w:t>
      </w:r>
      <w:r>
        <w:rPr>
          <w:rFonts w:ascii="宋体" w:eastAsia="宋体" w:hAnsi="宋体" w:hint="eastAsia"/>
          <w:sz w:val="24"/>
          <w:szCs w:val="24"/>
        </w:rPr>
        <w:t>。该原料获得了日内瓦国际发明奖，重组双胶原蛋白技术获得日内瓦国际发明金奖。</w:t>
      </w:r>
      <w:r w:rsidR="0002542E" w:rsidRPr="00F761D9">
        <w:rPr>
          <w:rFonts w:ascii="宋体" w:eastAsia="宋体" w:hAnsi="宋体" w:hint="eastAsia"/>
          <w:sz w:val="24"/>
          <w:szCs w:val="24"/>
        </w:rPr>
        <w:t>胶原蛋白、S</w:t>
      </w:r>
      <w:proofErr w:type="gramStart"/>
      <w:r w:rsidR="0002542E" w:rsidRPr="00F761D9">
        <w:rPr>
          <w:rFonts w:ascii="宋体" w:eastAsia="宋体" w:hAnsi="宋体" w:hint="eastAsia"/>
          <w:sz w:val="24"/>
          <w:szCs w:val="24"/>
        </w:rPr>
        <w:t>肽以及</w:t>
      </w:r>
      <w:proofErr w:type="gramEnd"/>
      <w:r w:rsidR="0002542E" w:rsidRPr="00F761D9">
        <w:rPr>
          <w:rFonts w:ascii="宋体" w:eastAsia="宋体" w:hAnsi="宋体" w:hint="eastAsia"/>
          <w:sz w:val="24"/>
          <w:szCs w:val="24"/>
        </w:rPr>
        <w:t>我们储备的多糖、ECM等原料，其协同点在于核心目标都是</w:t>
      </w:r>
      <w:r w:rsidR="000C66FF">
        <w:rPr>
          <w:rFonts w:ascii="宋体" w:eastAsia="宋体" w:hAnsi="宋体" w:hint="eastAsia"/>
          <w:sz w:val="24"/>
          <w:szCs w:val="24"/>
        </w:rPr>
        <w:t>淡纹抗皱</w:t>
      </w:r>
      <w:r w:rsidR="0002542E" w:rsidRPr="00F761D9">
        <w:rPr>
          <w:rFonts w:ascii="宋体" w:eastAsia="宋体" w:hAnsi="宋体" w:hint="eastAsia"/>
          <w:sz w:val="24"/>
          <w:szCs w:val="24"/>
        </w:rPr>
        <w:t>，复配使用</w:t>
      </w:r>
      <w:r w:rsidR="00245E72">
        <w:rPr>
          <w:rFonts w:ascii="宋体" w:eastAsia="宋体" w:hAnsi="宋体" w:hint="eastAsia"/>
          <w:sz w:val="24"/>
          <w:szCs w:val="24"/>
        </w:rPr>
        <w:t>功效</w:t>
      </w:r>
      <w:r w:rsidR="0002542E" w:rsidRPr="00F761D9">
        <w:rPr>
          <w:rFonts w:ascii="宋体" w:eastAsia="宋体" w:hAnsi="宋体" w:hint="eastAsia"/>
          <w:sz w:val="24"/>
          <w:szCs w:val="24"/>
        </w:rPr>
        <w:t>更强</w:t>
      </w:r>
      <w:r w:rsidR="00877F52">
        <w:rPr>
          <w:rFonts w:ascii="宋体" w:eastAsia="宋体" w:hAnsi="宋体" w:hint="eastAsia"/>
          <w:sz w:val="24"/>
          <w:szCs w:val="24"/>
        </w:rPr>
        <w:t>，</w:t>
      </w:r>
      <w:r w:rsidR="002866A9">
        <w:rPr>
          <w:rFonts w:ascii="宋体" w:eastAsia="宋体" w:hAnsi="宋体" w:hint="eastAsia"/>
          <w:sz w:val="24"/>
          <w:szCs w:val="24"/>
        </w:rPr>
        <w:t>公司已运用在小红笔眼霜等产品中，效果很好。</w:t>
      </w:r>
    </w:p>
    <w:p w14:paraId="2F0C883E" w14:textId="549E7008" w:rsidR="001A27F4" w:rsidRPr="00F761D9" w:rsidRDefault="0056025A" w:rsidP="001A27F4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56025A">
        <w:rPr>
          <w:rFonts w:ascii="宋体" w:eastAsia="宋体" w:hAnsi="宋体" w:hint="eastAsia"/>
          <w:sz w:val="24"/>
          <w:szCs w:val="24"/>
        </w:rPr>
        <w:t>出海是公司未来五至十年发展规划的重要组成部分，</w:t>
      </w:r>
      <w:r w:rsidR="001A27F4" w:rsidRPr="00F761D9">
        <w:rPr>
          <w:rFonts w:ascii="宋体" w:eastAsia="宋体" w:hAnsi="宋体" w:hint="eastAsia"/>
          <w:sz w:val="24"/>
          <w:szCs w:val="24"/>
        </w:rPr>
        <w:t>短期内对销售的直接贡献有限。我们近期与TikTok团队进行了交流，获得了一些有用信息。我们会在可行条件下进行有意义尝试。</w:t>
      </w:r>
    </w:p>
    <w:p w14:paraId="0A8C645C" w14:textId="2D52505C" w:rsidR="00F761D9" w:rsidRPr="00F761D9" w:rsidRDefault="00F761D9" w:rsidP="000977C6">
      <w:pPr>
        <w:spacing w:beforeLines="50" w:before="120" w:afterLines="50" w:after="120" w:line="430" w:lineRule="exact"/>
        <w:ind w:firstLineChars="196" w:firstLine="472"/>
        <w:rPr>
          <w:rFonts w:ascii="宋体" w:eastAsia="宋体" w:hAnsi="宋体" w:hint="eastAsia"/>
          <w:b/>
          <w:bCs/>
          <w:sz w:val="24"/>
          <w:szCs w:val="24"/>
        </w:rPr>
      </w:pPr>
      <w:r w:rsidRPr="00F761D9">
        <w:rPr>
          <w:rFonts w:ascii="宋体" w:eastAsia="宋体" w:hAnsi="宋体" w:hint="eastAsia"/>
          <w:b/>
          <w:bCs/>
          <w:sz w:val="24"/>
          <w:szCs w:val="24"/>
        </w:rPr>
        <w:t>Q</w:t>
      </w:r>
      <w:r w:rsidR="0002542E">
        <w:rPr>
          <w:rFonts w:ascii="宋体" w:eastAsia="宋体" w:hAnsi="宋体" w:hint="eastAsia"/>
          <w:b/>
          <w:bCs/>
          <w:sz w:val="24"/>
          <w:szCs w:val="24"/>
        </w:rPr>
        <w:t>6</w:t>
      </w:r>
      <w:r w:rsidRPr="00F761D9">
        <w:rPr>
          <w:rFonts w:ascii="宋体" w:eastAsia="宋体" w:hAnsi="宋体" w:hint="eastAsia"/>
          <w:b/>
          <w:bCs/>
          <w:sz w:val="24"/>
          <w:szCs w:val="24"/>
        </w:rPr>
        <w:t>、</w:t>
      </w:r>
      <w:proofErr w:type="gramStart"/>
      <w:r w:rsidRPr="00F761D9">
        <w:rPr>
          <w:rFonts w:ascii="宋体" w:eastAsia="宋体" w:hAnsi="宋体" w:hint="eastAsia"/>
          <w:b/>
          <w:bCs/>
          <w:sz w:val="24"/>
          <w:szCs w:val="24"/>
        </w:rPr>
        <w:t>抖音平台</w:t>
      </w:r>
      <w:proofErr w:type="gramEnd"/>
      <w:r w:rsidRPr="00F761D9">
        <w:rPr>
          <w:rFonts w:ascii="宋体" w:eastAsia="宋体" w:hAnsi="宋体" w:hint="eastAsia"/>
          <w:b/>
          <w:bCs/>
          <w:sz w:val="24"/>
          <w:szCs w:val="24"/>
        </w:rPr>
        <w:t>将流量从达人</w:t>
      </w:r>
      <w:proofErr w:type="gramStart"/>
      <w:r w:rsidRPr="00F761D9">
        <w:rPr>
          <w:rFonts w:ascii="宋体" w:eastAsia="宋体" w:hAnsi="宋体" w:hint="eastAsia"/>
          <w:b/>
          <w:bCs/>
          <w:sz w:val="24"/>
          <w:szCs w:val="24"/>
        </w:rPr>
        <w:t>端调整</w:t>
      </w:r>
      <w:proofErr w:type="gramEnd"/>
      <w:r w:rsidRPr="00F761D9">
        <w:rPr>
          <w:rFonts w:ascii="宋体" w:eastAsia="宋体" w:hAnsi="宋体" w:hint="eastAsia"/>
          <w:b/>
          <w:bCs/>
          <w:sz w:val="24"/>
          <w:szCs w:val="24"/>
        </w:rPr>
        <w:t>到短视频端，公司</w:t>
      </w:r>
      <w:r w:rsidR="00663081">
        <w:rPr>
          <w:rFonts w:ascii="宋体" w:eastAsia="宋体" w:hAnsi="宋体" w:hint="eastAsia"/>
          <w:b/>
          <w:bCs/>
          <w:sz w:val="24"/>
          <w:szCs w:val="24"/>
        </w:rPr>
        <w:t>如何</w:t>
      </w:r>
      <w:r w:rsidRPr="00F761D9">
        <w:rPr>
          <w:rFonts w:ascii="宋体" w:eastAsia="宋体" w:hAnsi="宋体" w:hint="eastAsia"/>
          <w:b/>
          <w:bCs/>
          <w:sz w:val="24"/>
          <w:szCs w:val="24"/>
        </w:rPr>
        <w:t>应对？</w:t>
      </w:r>
    </w:p>
    <w:p w14:paraId="43F83B59" w14:textId="78C8EA2D" w:rsidR="0002542E" w:rsidRDefault="00F761D9" w:rsidP="001B6FBC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F761D9">
        <w:rPr>
          <w:rFonts w:ascii="宋体" w:eastAsia="宋体" w:hAnsi="宋体" w:hint="eastAsia"/>
          <w:sz w:val="24"/>
          <w:szCs w:val="24"/>
        </w:rPr>
        <w:t>A</w:t>
      </w:r>
      <w:r w:rsidR="0002542E">
        <w:rPr>
          <w:rFonts w:ascii="宋体" w:eastAsia="宋体" w:hAnsi="宋体" w:hint="eastAsia"/>
          <w:sz w:val="24"/>
          <w:szCs w:val="24"/>
        </w:rPr>
        <w:t>：</w:t>
      </w:r>
      <w:r w:rsidR="00732852">
        <w:rPr>
          <w:rFonts w:ascii="宋体" w:eastAsia="宋体" w:hAnsi="宋体" w:hint="eastAsia"/>
          <w:sz w:val="24"/>
          <w:szCs w:val="24"/>
        </w:rPr>
        <w:t>公司</w:t>
      </w:r>
      <w:r w:rsidR="0002542E" w:rsidRPr="0002542E">
        <w:rPr>
          <w:rFonts w:ascii="宋体" w:eastAsia="宋体" w:hAnsi="宋体" w:hint="eastAsia"/>
          <w:sz w:val="24"/>
          <w:szCs w:val="24"/>
        </w:rPr>
        <w:t>提炼出三大核心要素</w:t>
      </w:r>
      <w:r w:rsidR="00732852">
        <w:rPr>
          <w:rFonts w:ascii="宋体" w:eastAsia="宋体" w:hAnsi="宋体" w:hint="eastAsia"/>
          <w:sz w:val="24"/>
          <w:szCs w:val="24"/>
        </w:rPr>
        <w:t>。一是</w:t>
      </w:r>
      <w:r w:rsidR="0002542E" w:rsidRPr="0002542E">
        <w:rPr>
          <w:rFonts w:ascii="宋体" w:eastAsia="宋体" w:hAnsi="宋体" w:hint="eastAsia"/>
          <w:sz w:val="24"/>
          <w:szCs w:val="24"/>
        </w:rPr>
        <w:t>更强大的内容生产能力</w:t>
      </w:r>
      <w:r w:rsidR="00732852">
        <w:rPr>
          <w:rFonts w:ascii="宋体" w:eastAsia="宋体" w:hAnsi="宋体" w:hint="eastAsia"/>
          <w:sz w:val="24"/>
          <w:szCs w:val="24"/>
        </w:rPr>
        <w:t>，确保内容</w:t>
      </w:r>
      <w:r w:rsidR="0002542E" w:rsidRPr="0002542E">
        <w:rPr>
          <w:rFonts w:ascii="宋体" w:eastAsia="宋体" w:hAnsi="宋体" w:hint="eastAsia"/>
          <w:sz w:val="24"/>
          <w:szCs w:val="24"/>
        </w:rPr>
        <w:t>能够精准吸引目标客群</w:t>
      </w:r>
      <w:r w:rsidR="00732852">
        <w:rPr>
          <w:rFonts w:ascii="宋体" w:eastAsia="宋体" w:hAnsi="宋体" w:hint="eastAsia"/>
          <w:sz w:val="24"/>
          <w:szCs w:val="24"/>
        </w:rPr>
        <w:t>；二是</w:t>
      </w:r>
      <w:r w:rsidR="0002542E" w:rsidRPr="0002542E">
        <w:rPr>
          <w:rFonts w:ascii="宋体" w:eastAsia="宋体" w:hAnsi="宋体" w:hint="eastAsia"/>
          <w:sz w:val="24"/>
          <w:szCs w:val="24"/>
        </w:rPr>
        <w:t>更</w:t>
      </w:r>
      <w:r w:rsidR="00732852">
        <w:rPr>
          <w:rFonts w:ascii="宋体" w:eastAsia="宋体" w:hAnsi="宋体" w:hint="eastAsia"/>
          <w:sz w:val="24"/>
          <w:szCs w:val="24"/>
        </w:rPr>
        <w:t>强大的</w:t>
      </w:r>
      <w:r w:rsidR="0002542E" w:rsidRPr="0002542E">
        <w:rPr>
          <w:rFonts w:ascii="宋体" w:eastAsia="宋体" w:hAnsi="宋体" w:hint="eastAsia"/>
          <w:sz w:val="24"/>
          <w:szCs w:val="24"/>
        </w:rPr>
        <w:t>货盘组合</w:t>
      </w:r>
      <w:r w:rsidR="00732852">
        <w:rPr>
          <w:rFonts w:ascii="宋体" w:eastAsia="宋体" w:hAnsi="宋体" w:hint="eastAsia"/>
          <w:sz w:val="24"/>
          <w:szCs w:val="24"/>
        </w:rPr>
        <w:t>，以带动</w:t>
      </w:r>
      <w:r w:rsidR="0002542E" w:rsidRPr="0002542E">
        <w:rPr>
          <w:rFonts w:ascii="宋体" w:eastAsia="宋体" w:hAnsi="宋体" w:hint="eastAsia"/>
          <w:sz w:val="24"/>
          <w:szCs w:val="24"/>
        </w:rPr>
        <w:t>销售转化</w:t>
      </w:r>
      <w:r w:rsidR="00732852">
        <w:rPr>
          <w:rFonts w:ascii="宋体" w:eastAsia="宋体" w:hAnsi="宋体" w:hint="eastAsia"/>
          <w:sz w:val="24"/>
          <w:szCs w:val="24"/>
        </w:rPr>
        <w:t>；三是</w:t>
      </w:r>
      <w:r w:rsidR="0002542E" w:rsidRPr="0002542E">
        <w:rPr>
          <w:rFonts w:ascii="宋体" w:eastAsia="宋体" w:hAnsi="宋体" w:hint="eastAsia"/>
          <w:sz w:val="24"/>
          <w:szCs w:val="24"/>
        </w:rPr>
        <w:t>更专业的直播间呈现</w:t>
      </w:r>
      <w:r w:rsidR="00732852">
        <w:rPr>
          <w:rFonts w:ascii="宋体" w:eastAsia="宋体" w:hAnsi="宋体" w:hint="eastAsia"/>
          <w:sz w:val="24"/>
          <w:szCs w:val="24"/>
        </w:rPr>
        <w:t>，</w:t>
      </w:r>
      <w:r w:rsidR="0002542E" w:rsidRPr="0002542E">
        <w:rPr>
          <w:rFonts w:ascii="宋体" w:eastAsia="宋体" w:hAnsi="宋体" w:hint="eastAsia"/>
          <w:sz w:val="24"/>
          <w:szCs w:val="24"/>
        </w:rPr>
        <w:t>以提升用户停留与信任度</w:t>
      </w:r>
      <w:r w:rsidR="00732852">
        <w:rPr>
          <w:rFonts w:ascii="宋体" w:eastAsia="宋体" w:hAnsi="宋体" w:hint="eastAsia"/>
          <w:sz w:val="24"/>
          <w:szCs w:val="24"/>
        </w:rPr>
        <w:t>。</w:t>
      </w:r>
      <w:r w:rsidR="00732852" w:rsidRPr="00F761D9">
        <w:rPr>
          <w:rFonts w:ascii="宋体" w:eastAsia="宋体" w:hAnsi="宋体" w:hint="eastAsia"/>
          <w:sz w:val="24"/>
          <w:szCs w:val="24"/>
        </w:rPr>
        <w:t>我们将从这三方面着力</w:t>
      </w:r>
      <w:r w:rsidR="0002542E" w:rsidRPr="0002542E">
        <w:rPr>
          <w:rFonts w:ascii="宋体" w:eastAsia="宋体" w:hAnsi="宋体" w:hint="eastAsia"/>
          <w:sz w:val="24"/>
          <w:szCs w:val="24"/>
        </w:rPr>
        <w:t>。</w:t>
      </w:r>
    </w:p>
    <w:p w14:paraId="6219A364" w14:textId="728FE11C" w:rsidR="00AB368E" w:rsidRPr="00F761D9" w:rsidRDefault="00AB368E" w:rsidP="00AB368E">
      <w:pPr>
        <w:spacing w:beforeLines="50" w:before="120" w:afterLines="50" w:after="120" w:line="430" w:lineRule="exact"/>
        <w:ind w:firstLineChars="196" w:firstLine="472"/>
        <w:rPr>
          <w:rFonts w:ascii="宋体" w:eastAsia="宋体" w:hAnsi="宋体" w:hint="eastAsia"/>
          <w:b/>
          <w:bCs/>
          <w:sz w:val="24"/>
          <w:szCs w:val="24"/>
        </w:rPr>
      </w:pPr>
      <w:r w:rsidRPr="00F761D9">
        <w:rPr>
          <w:rFonts w:ascii="宋体" w:eastAsia="宋体" w:hAnsi="宋体" w:hint="eastAsia"/>
          <w:b/>
          <w:bCs/>
          <w:sz w:val="24"/>
          <w:szCs w:val="24"/>
        </w:rPr>
        <w:t>Q</w:t>
      </w:r>
      <w:r>
        <w:rPr>
          <w:rFonts w:ascii="宋体" w:eastAsia="宋体" w:hAnsi="宋体" w:hint="eastAsia"/>
          <w:b/>
          <w:bCs/>
          <w:sz w:val="24"/>
          <w:szCs w:val="24"/>
        </w:rPr>
        <w:t>7</w:t>
      </w:r>
      <w:r w:rsidRPr="00F761D9">
        <w:rPr>
          <w:rFonts w:ascii="宋体" w:eastAsia="宋体" w:hAnsi="宋体" w:hint="eastAsia"/>
          <w:b/>
          <w:bCs/>
          <w:sz w:val="24"/>
          <w:szCs w:val="24"/>
        </w:rPr>
        <w:t>、Q1自播高增背后</w:t>
      </w:r>
      <w:proofErr w:type="gramStart"/>
      <w:r w:rsidRPr="00F761D9">
        <w:rPr>
          <w:rFonts w:ascii="宋体" w:eastAsia="宋体" w:hAnsi="宋体" w:hint="eastAsia"/>
          <w:b/>
          <w:bCs/>
          <w:sz w:val="24"/>
          <w:szCs w:val="24"/>
        </w:rPr>
        <w:t>做对</w:t>
      </w:r>
      <w:proofErr w:type="gramEnd"/>
      <w:r w:rsidRPr="00F761D9">
        <w:rPr>
          <w:rFonts w:ascii="宋体" w:eastAsia="宋体" w:hAnsi="宋体" w:hint="eastAsia"/>
          <w:b/>
          <w:bCs/>
          <w:sz w:val="24"/>
          <w:szCs w:val="24"/>
        </w:rPr>
        <w:t xml:space="preserve">了哪些事？做好自播的难点及持续提升方向？ </w:t>
      </w:r>
    </w:p>
    <w:p w14:paraId="0C9E1CD5" w14:textId="77777777" w:rsidR="00AB368E" w:rsidRDefault="00AB368E" w:rsidP="00AB368E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F761D9">
        <w:rPr>
          <w:rFonts w:ascii="宋体" w:eastAsia="宋体" w:hAnsi="宋体" w:hint="eastAsia"/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：内容是第一大要素。</w:t>
      </w:r>
      <w:r w:rsidRPr="00DF6389">
        <w:rPr>
          <w:rFonts w:ascii="宋体" w:eastAsia="宋体" w:hAnsi="宋体" w:hint="eastAsia"/>
          <w:sz w:val="24"/>
          <w:szCs w:val="24"/>
        </w:rPr>
        <w:t>为提升内容产出质量与效率，公司对内容团队进行了</w:t>
      </w:r>
      <w:r>
        <w:rPr>
          <w:rFonts w:ascii="宋体" w:eastAsia="宋体" w:hAnsi="宋体" w:hint="eastAsia"/>
          <w:sz w:val="24"/>
          <w:szCs w:val="24"/>
        </w:rPr>
        <w:t>组织优化，从而</w:t>
      </w:r>
      <w:r w:rsidRPr="00DF6389">
        <w:rPr>
          <w:rFonts w:ascii="宋体" w:eastAsia="宋体" w:hAnsi="宋体" w:hint="eastAsia"/>
          <w:sz w:val="24"/>
          <w:szCs w:val="24"/>
        </w:rPr>
        <w:t>深度服务直播间，</w:t>
      </w:r>
      <w:r>
        <w:rPr>
          <w:rFonts w:ascii="宋体" w:eastAsia="宋体" w:hAnsi="宋体" w:hint="eastAsia"/>
          <w:sz w:val="24"/>
          <w:szCs w:val="24"/>
        </w:rPr>
        <w:t>推进</w:t>
      </w:r>
      <w:r w:rsidRPr="00DF6389">
        <w:rPr>
          <w:rFonts w:ascii="宋体" w:eastAsia="宋体" w:hAnsi="宋体" w:hint="eastAsia"/>
          <w:sz w:val="24"/>
          <w:szCs w:val="24"/>
        </w:rPr>
        <w:t>更精细化的内容创作与运营支持，保障优质内容持续供给。</w:t>
      </w:r>
      <w:r>
        <w:rPr>
          <w:rFonts w:ascii="宋体" w:eastAsia="宋体" w:hAnsi="宋体" w:hint="eastAsia"/>
          <w:sz w:val="24"/>
          <w:szCs w:val="24"/>
        </w:rPr>
        <w:t>第二，加强直播间的精细化管理，加强主播的激励与动态管理，</w:t>
      </w:r>
      <w:r w:rsidRPr="00DF6389">
        <w:rPr>
          <w:rFonts w:ascii="宋体" w:eastAsia="宋体" w:hAnsi="宋体" w:hint="eastAsia"/>
          <w:sz w:val="24"/>
          <w:szCs w:val="24"/>
        </w:rPr>
        <w:t>激发团队活力。</w:t>
      </w:r>
      <w:r>
        <w:rPr>
          <w:rFonts w:ascii="宋体" w:eastAsia="宋体" w:hAnsi="宋体" w:hint="eastAsia"/>
          <w:sz w:val="24"/>
          <w:szCs w:val="24"/>
        </w:rPr>
        <w:t>第三，在</w:t>
      </w:r>
      <w:r w:rsidRPr="00DF6389">
        <w:rPr>
          <w:rFonts w:ascii="宋体" w:eastAsia="宋体" w:hAnsi="宋体" w:hint="eastAsia"/>
          <w:sz w:val="24"/>
          <w:szCs w:val="24"/>
        </w:rPr>
        <w:t>货</w:t>
      </w:r>
      <w:proofErr w:type="gramStart"/>
      <w:r w:rsidRPr="00DF6389">
        <w:rPr>
          <w:rFonts w:ascii="宋体" w:eastAsia="宋体" w:hAnsi="宋体" w:hint="eastAsia"/>
          <w:sz w:val="24"/>
          <w:szCs w:val="24"/>
        </w:rPr>
        <w:t>盘</w:t>
      </w:r>
      <w:r>
        <w:rPr>
          <w:rFonts w:ascii="宋体" w:eastAsia="宋体" w:hAnsi="宋体" w:hint="eastAsia"/>
          <w:sz w:val="24"/>
          <w:szCs w:val="24"/>
        </w:rPr>
        <w:t>方面</w:t>
      </w:r>
      <w:proofErr w:type="gramEnd"/>
      <w:r>
        <w:rPr>
          <w:rFonts w:ascii="宋体" w:eastAsia="宋体" w:hAnsi="宋体" w:hint="eastAsia"/>
          <w:sz w:val="24"/>
          <w:szCs w:val="24"/>
        </w:rPr>
        <w:t>持续创新，在产品配方升级的基础上，</w:t>
      </w:r>
      <w:r w:rsidRPr="000977C6">
        <w:rPr>
          <w:rFonts w:ascii="宋体" w:eastAsia="宋体" w:hAnsi="宋体" w:hint="eastAsia"/>
          <w:sz w:val="24"/>
          <w:szCs w:val="24"/>
        </w:rPr>
        <w:t>进行包装创新</w:t>
      </w:r>
      <w:r>
        <w:rPr>
          <w:rFonts w:ascii="宋体" w:eastAsia="宋体" w:hAnsi="宋体" w:hint="eastAsia"/>
          <w:sz w:val="24"/>
          <w:szCs w:val="24"/>
        </w:rPr>
        <w:t>与</w:t>
      </w:r>
      <w:r w:rsidRPr="00DF6389">
        <w:rPr>
          <w:rFonts w:ascii="宋体" w:eastAsia="宋体" w:hAnsi="宋体" w:hint="eastAsia"/>
          <w:sz w:val="24"/>
          <w:szCs w:val="24"/>
        </w:rPr>
        <w:t>特色</w:t>
      </w:r>
      <w:r>
        <w:rPr>
          <w:rFonts w:ascii="宋体" w:eastAsia="宋体" w:hAnsi="宋体" w:hint="eastAsia"/>
          <w:sz w:val="24"/>
          <w:szCs w:val="24"/>
        </w:rPr>
        <w:t>配搭</w:t>
      </w:r>
      <w:r w:rsidRPr="00DF6389">
        <w:rPr>
          <w:rFonts w:ascii="宋体" w:eastAsia="宋体" w:hAnsi="宋体" w:hint="eastAsia"/>
          <w:sz w:val="24"/>
          <w:szCs w:val="24"/>
        </w:rPr>
        <w:t>，在</w:t>
      </w:r>
      <w:r>
        <w:rPr>
          <w:rFonts w:ascii="宋体" w:eastAsia="宋体" w:hAnsi="宋体" w:hint="eastAsia"/>
          <w:sz w:val="24"/>
          <w:szCs w:val="24"/>
        </w:rPr>
        <w:t>费比可控情况下</w:t>
      </w:r>
      <w:r w:rsidRPr="00DF6389">
        <w:rPr>
          <w:rFonts w:ascii="宋体" w:eastAsia="宋体" w:hAnsi="宋体" w:hint="eastAsia"/>
          <w:sz w:val="24"/>
          <w:szCs w:val="24"/>
        </w:rPr>
        <w:t>提升了顾客的价值感知，增强了货盘吸引力。</w:t>
      </w:r>
    </w:p>
    <w:p w14:paraId="5E3FADB1" w14:textId="4ECCAC2B" w:rsidR="00D82031" w:rsidRPr="00F761D9" w:rsidRDefault="00D82031" w:rsidP="00D82031">
      <w:pPr>
        <w:spacing w:beforeLines="50" w:before="120" w:afterLines="50" w:after="120" w:line="430" w:lineRule="exact"/>
        <w:ind w:firstLineChars="196" w:firstLine="472"/>
        <w:rPr>
          <w:rFonts w:ascii="宋体" w:eastAsia="宋体" w:hAnsi="宋体" w:hint="eastAsia"/>
          <w:b/>
          <w:bCs/>
          <w:sz w:val="24"/>
          <w:szCs w:val="24"/>
        </w:rPr>
      </w:pPr>
      <w:r w:rsidRPr="00F761D9">
        <w:rPr>
          <w:rFonts w:ascii="宋体" w:eastAsia="宋体" w:hAnsi="宋体" w:hint="eastAsia"/>
          <w:b/>
          <w:bCs/>
          <w:sz w:val="24"/>
          <w:szCs w:val="24"/>
        </w:rPr>
        <w:t>Q</w:t>
      </w:r>
      <w:r w:rsidR="00AB368E">
        <w:rPr>
          <w:rFonts w:ascii="宋体" w:eastAsia="宋体" w:hAnsi="宋体" w:hint="eastAsia"/>
          <w:b/>
          <w:bCs/>
          <w:sz w:val="24"/>
          <w:szCs w:val="24"/>
        </w:rPr>
        <w:t>8</w:t>
      </w:r>
      <w:r w:rsidRPr="00F761D9">
        <w:rPr>
          <w:rFonts w:ascii="宋体" w:eastAsia="宋体" w:hAnsi="宋体" w:hint="eastAsia"/>
          <w:b/>
          <w:bCs/>
          <w:sz w:val="24"/>
          <w:szCs w:val="24"/>
        </w:rPr>
        <w:t>、公司深厚的线下资源</w:t>
      </w:r>
      <w:r>
        <w:rPr>
          <w:rFonts w:ascii="宋体" w:eastAsia="宋体" w:hAnsi="宋体" w:hint="eastAsia"/>
          <w:b/>
          <w:bCs/>
          <w:sz w:val="24"/>
          <w:szCs w:val="24"/>
        </w:rPr>
        <w:t>可否</w:t>
      </w:r>
      <w:proofErr w:type="gramStart"/>
      <w:r w:rsidRPr="00F761D9">
        <w:rPr>
          <w:rFonts w:ascii="宋体" w:eastAsia="宋体" w:hAnsi="宋体" w:hint="eastAsia"/>
          <w:b/>
          <w:bCs/>
          <w:sz w:val="24"/>
          <w:szCs w:val="24"/>
        </w:rPr>
        <w:t>赋能恋火品牌</w:t>
      </w:r>
      <w:proofErr w:type="gramEnd"/>
      <w:r>
        <w:rPr>
          <w:rFonts w:ascii="宋体" w:eastAsia="宋体" w:hAnsi="宋体" w:hint="eastAsia"/>
          <w:b/>
          <w:bCs/>
          <w:sz w:val="24"/>
          <w:szCs w:val="24"/>
        </w:rPr>
        <w:t>？</w:t>
      </w:r>
    </w:p>
    <w:p w14:paraId="25DFCD3D" w14:textId="77777777" w:rsidR="00D82031" w:rsidRDefault="00D82031" w:rsidP="00D82031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02542E">
        <w:rPr>
          <w:rFonts w:ascii="宋体" w:eastAsia="宋体" w:hAnsi="宋体" w:hint="eastAsia"/>
          <w:sz w:val="24"/>
          <w:szCs w:val="24"/>
        </w:rPr>
        <w:lastRenderedPageBreak/>
        <w:t>公司起源于线下，拥有深厚的线下渠道运营经验与资源。我们认为，2026年有望成为线下渠道复苏与增长的元年。</w:t>
      </w:r>
      <w:r>
        <w:rPr>
          <w:rFonts w:ascii="宋体" w:eastAsia="宋体" w:hAnsi="宋体" w:hint="eastAsia"/>
          <w:sz w:val="24"/>
          <w:szCs w:val="24"/>
        </w:rPr>
        <w:t>线下面对线上的不利因素依然存在，但</w:t>
      </w:r>
      <w:r w:rsidRPr="00F761D9">
        <w:rPr>
          <w:rFonts w:ascii="宋体" w:eastAsia="宋体" w:hAnsi="宋体" w:hint="eastAsia"/>
          <w:sz w:val="24"/>
          <w:szCs w:val="24"/>
        </w:rPr>
        <w:t>线下是和消费者直接交付、提供更好体验的关键场所</w:t>
      </w:r>
      <w:r w:rsidRPr="0002542E">
        <w:rPr>
          <w:rFonts w:ascii="宋体" w:eastAsia="宋体" w:hAnsi="宋体" w:hint="eastAsia"/>
          <w:sz w:val="24"/>
          <w:szCs w:val="24"/>
        </w:rPr>
        <w:t>，</w:t>
      </w:r>
      <w:r w:rsidRPr="00F761D9">
        <w:rPr>
          <w:rFonts w:ascii="宋体" w:eastAsia="宋体" w:hAnsi="宋体" w:hint="eastAsia"/>
          <w:sz w:val="24"/>
          <w:szCs w:val="24"/>
        </w:rPr>
        <w:t>且</w:t>
      </w:r>
      <w:r w:rsidRPr="0002542E">
        <w:rPr>
          <w:rFonts w:ascii="宋体" w:eastAsia="宋体" w:hAnsi="宋体" w:hint="eastAsia"/>
          <w:sz w:val="24"/>
          <w:szCs w:val="24"/>
        </w:rPr>
        <w:t>线下渠道的</w:t>
      </w:r>
      <w:proofErr w:type="gramStart"/>
      <w:r w:rsidRPr="0002542E">
        <w:rPr>
          <w:rFonts w:ascii="宋体" w:eastAsia="宋体" w:hAnsi="宋体" w:hint="eastAsia"/>
          <w:sz w:val="24"/>
          <w:szCs w:val="24"/>
        </w:rPr>
        <w:t>获客成本</w:t>
      </w:r>
      <w:proofErr w:type="gramEnd"/>
      <w:r w:rsidRPr="0002542E">
        <w:rPr>
          <w:rFonts w:ascii="宋体" w:eastAsia="宋体" w:hAnsi="宋体" w:hint="eastAsia"/>
          <w:sz w:val="24"/>
          <w:szCs w:val="24"/>
        </w:rPr>
        <w:t>与产品利润结构也通常优于线上。尽管面临挑战，公司</w:t>
      </w:r>
      <w:r w:rsidRPr="00F761D9">
        <w:rPr>
          <w:rFonts w:ascii="宋体" w:eastAsia="宋体" w:hAnsi="宋体" w:hint="eastAsia"/>
          <w:sz w:val="24"/>
          <w:szCs w:val="24"/>
        </w:rPr>
        <w:t>会持续努力提升线下占比。</w:t>
      </w:r>
      <w:proofErr w:type="gramStart"/>
      <w:r w:rsidRPr="00F761D9">
        <w:rPr>
          <w:rFonts w:ascii="宋体" w:eastAsia="宋体" w:hAnsi="宋体" w:hint="eastAsia"/>
          <w:sz w:val="24"/>
          <w:szCs w:val="24"/>
        </w:rPr>
        <w:t>恋火品牌</w:t>
      </w:r>
      <w:proofErr w:type="gramEnd"/>
      <w:r w:rsidRPr="00F761D9">
        <w:rPr>
          <w:rFonts w:ascii="宋体" w:eastAsia="宋体" w:hAnsi="宋体" w:hint="eastAsia"/>
          <w:sz w:val="24"/>
          <w:szCs w:val="24"/>
        </w:rPr>
        <w:t>目前线下</w:t>
      </w:r>
      <w:proofErr w:type="gramStart"/>
      <w:r w:rsidRPr="00F761D9">
        <w:rPr>
          <w:rFonts w:ascii="宋体" w:eastAsia="宋体" w:hAnsi="宋体" w:hint="eastAsia"/>
          <w:sz w:val="24"/>
          <w:szCs w:val="24"/>
        </w:rPr>
        <w:t>占比较</w:t>
      </w:r>
      <w:proofErr w:type="gramEnd"/>
      <w:r w:rsidRPr="00F761D9">
        <w:rPr>
          <w:rFonts w:ascii="宋体" w:eastAsia="宋体" w:hAnsi="宋体" w:hint="eastAsia"/>
          <w:sz w:val="24"/>
          <w:szCs w:val="24"/>
        </w:rPr>
        <w:t>小，我们会利用公司线下资源对其进行赋能</w:t>
      </w:r>
      <w:r w:rsidRPr="0002542E">
        <w:rPr>
          <w:rFonts w:ascii="宋体" w:eastAsia="宋体" w:hAnsi="宋体" w:hint="eastAsia"/>
          <w:sz w:val="24"/>
          <w:szCs w:val="24"/>
        </w:rPr>
        <w:t>。</w:t>
      </w:r>
    </w:p>
    <w:p w14:paraId="57042A0A" w14:textId="5F78505F" w:rsidR="00F761D9" w:rsidRPr="00F761D9" w:rsidRDefault="00F761D9" w:rsidP="000977C6">
      <w:pPr>
        <w:spacing w:beforeLines="50" w:before="120" w:afterLines="50" w:after="120" w:line="430" w:lineRule="exact"/>
        <w:ind w:firstLineChars="196" w:firstLine="472"/>
        <w:rPr>
          <w:rFonts w:ascii="宋体" w:eastAsia="宋体" w:hAnsi="宋体" w:hint="eastAsia"/>
          <w:b/>
          <w:bCs/>
          <w:sz w:val="24"/>
          <w:szCs w:val="24"/>
        </w:rPr>
      </w:pPr>
      <w:r w:rsidRPr="00F761D9">
        <w:rPr>
          <w:rFonts w:ascii="宋体" w:eastAsia="宋体" w:hAnsi="宋体" w:hint="eastAsia"/>
          <w:b/>
          <w:bCs/>
          <w:sz w:val="24"/>
          <w:szCs w:val="24"/>
        </w:rPr>
        <w:t>Q</w:t>
      </w:r>
      <w:r w:rsidR="00BD4BEC">
        <w:rPr>
          <w:rFonts w:ascii="宋体" w:eastAsia="宋体" w:hAnsi="宋体" w:hint="eastAsia"/>
          <w:b/>
          <w:bCs/>
          <w:sz w:val="24"/>
          <w:szCs w:val="24"/>
        </w:rPr>
        <w:t>9</w:t>
      </w:r>
      <w:r w:rsidRPr="00F761D9">
        <w:rPr>
          <w:rFonts w:ascii="宋体" w:eastAsia="宋体" w:hAnsi="宋体" w:hint="eastAsia"/>
          <w:b/>
          <w:bCs/>
          <w:sz w:val="24"/>
          <w:szCs w:val="24"/>
        </w:rPr>
        <w:t>、</w:t>
      </w:r>
      <w:proofErr w:type="gramStart"/>
      <w:r w:rsidRPr="00F761D9">
        <w:rPr>
          <w:rFonts w:ascii="宋体" w:eastAsia="宋体" w:hAnsi="宋体" w:hint="eastAsia"/>
          <w:b/>
          <w:bCs/>
          <w:sz w:val="24"/>
          <w:szCs w:val="24"/>
        </w:rPr>
        <w:t>恋火如何</w:t>
      </w:r>
      <w:proofErr w:type="gramEnd"/>
      <w:r w:rsidRPr="00F761D9">
        <w:rPr>
          <w:rFonts w:ascii="宋体" w:eastAsia="宋体" w:hAnsi="宋体" w:hint="eastAsia"/>
          <w:b/>
          <w:bCs/>
          <w:sz w:val="24"/>
          <w:szCs w:val="24"/>
        </w:rPr>
        <w:t>在竞争加剧的底妆品类保持领先和突破？</w:t>
      </w:r>
    </w:p>
    <w:p w14:paraId="7AA62067" w14:textId="530CA253" w:rsidR="00F761D9" w:rsidRPr="00F761D9" w:rsidRDefault="00F761D9" w:rsidP="00F761D9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F761D9">
        <w:rPr>
          <w:rFonts w:ascii="宋体" w:eastAsia="宋体" w:hAnsi="宋体" w:hint="eastAsia"/>
          <w:sz w:val="24"/>
          <w:szCs w:val="24"/>
        </w:rPr>
        <w:t>A</w:t>
      </w:r>
      <w:r w:rsidR="008F466B">
        <w:rPr>
          <w:rFonts w:ascii="宋体" w:eastAsia="宋体" w:hAnsi="宋体" w:hint="eastAsia"/>
          <w:sz w:val="24"/>
          <w:szCs w:val="24"/>
        </w:rPr>
        <w:t>：</w:t>
      </w:r>
      <w:r w:rsidR="00DF6389" w:rsidRPr="00DF6389">
        <w:rPr>
          <w:rFonts w:ascii="宋体" w:eastAsia="宋体" w:hAnsi="宋体" w:hint="eastAsia"/>
          <w:sz w:val="24"/>
          <w:szCs w:val="24"/>
        </w:rPr>
        <w:t>面对底妆赛道成为</w:t>
      </w:r>
      <w:r w:rsidR="0024028C">
        <w:rPr>
          <w:rFonts w:ascii="宋体" w:eastAsia="宋体" w:hAnsi="宋体" w:hint="eastAsia"/>
          <w:sz w:val="24"/>
          <w:szCs w:val="24"/>
        </w:rPr>
        <w:t>彩妆</w:t>
      </w:r>
      <w:r w:rsidR="00DF6389" w:rsidRPr="00DF6389">
        <w:rPr>
          <w:rFonts w:ascii="宋体" w:eastAsia="宋体" w:hAnsi="宋体" w:hint="eastAsia"/>
          <w:sz w:val="24"/>
          <w:szCs w:val="24"/>
        </w:rPr>
        <w:t>行业竞争焦点的现状，</w:t>
      </w:r>
      <w:proofErr w:type="gramStart"/>
      <w:r w:rsidR="00DF6389" w:rsidRPr="00DF6389">
        <w:rPr>
          <w:rFonts w:ascii="宋体" w:eastAsia="宋体" w:hAnsi="宋体" w:hint="eastAsia"/>
          <w:sz w:val="24"/>
          <w:szCs w:val="24"/>
        </w:rPr>
        <w:t>恋火品牌</w:t>
      </w:r>
      <w:proofErr w:type="gramEnd"/>
      <w:r w:rsidR="0024028C">
        <w:rPr>
          <w:rFonts w:ascii="宋体" w:eastAsia="宋体" w:hAnsi="宋体" w:hint="eastAsia"/>
          <w:sz w:val="24"/>
          <w:szCs w:val="24"/>
        </w:rPr>
        <w:t>一是</w:t>
      </w:r>
      <w:r w:rsidR="00DF6389" w:rsidRPr="00DF6389">
        <w:rPr>
          <w:rFonts w:ascii="宋体" w:eastAsia="宋体" w:hAnsi="宋体" w:hint="eastAsia"/>
          <w:sz w:val="24"/>
          <w:szCs w:val="24"/>
        </w:rPr>
        <w:t>聚焦核心品类，巩固基本盘</w:t>
      </w:r>
      <w:r w:rsidR="0024028C">
        <w:rPr>
          <w:rFonts w:ascii="宋体" w:eastAsia="宋体" w:hAnsi="宋体" w:hint="eastAsia"/>
          <w:sz w:val="24"/>
          <w:szCs w:val="24"/>
        </w:rPr>
        <w:t>。</w:t>
      </w:r>
      <w:r w:rsidR="00DF6389" w:rsidRPr="00DF6389">
        <w:rPr>
          <w:rFonts w:ascii="宋体" w:eastAsia="宋体" w:hAnsi="宋体" w:hint="eastAsia"/>
          <w:sz w:val="24"/>
          <w:szCs w:val="24"/>
        </w:rPr>
        <w:t>粉底液</w:t>
      </w:r>
      <w:proofErr w:type="gramStart"/>
      <w:r w:rsidR="00DF6389" w:rsidRPr="00DF6389">
        <w:rPr>
          <w:rFonts w:ascii="宋体" w:eastAsia="宋体" w:hAnsi="宋体" w:hint="eastAsia"/>
          <w:sz w:val="24"/>
          <w:szCs w:val="24"/>
        </w:rPr>
        <w:t>是恋火品牌</w:t>
      </w:r>
      <w:proofErr w:type="gramEnd"/>
      <w:r w:rsidR="00DF6389" w:rsidRPr="00DF6389">
        <w:rPr>
          <w:rFonts w:ascii="宋体" w:eastAsia="宋体" w:hAnsi="宋体" w:hint="eastAsia"/>
          <w:sz w:val="24"/>
          <w:szCs w:val="24"/>
        </w:rPr>
        <w:t>最强优势所在，销售占比高达60%。</w:t>
      </w:r>
      <w:proofErr w:type="gramStart"/>
      <w:r w:rsidR="00A27A35">
        <w:rPr>
          <w:rFonts w:ascii="宋体" w:eastAsia="宋体" w:hAnsi="宋体" w:hint="eastAsia"/>
          <w:sz w:val="24"/>
          <w:szCs w:val="24"/>
        </w:rPr>
        <w:t>恋火</w:t>
      </w:r>
      <w:r w:rsidR="00DF6389" w:rsidRPr="00DF6389">
        <w:rPr>
          <w:rFonts w:ascii="宋体" w:eastAsia="宋体" w:hAnsi="宋体" w:hint="eastAsia"/>
          <w:sz w:val="24"/>
          <w:szCs w:val="24"/>
        </w:rPr>
        <w:t>将</w:t>
      </w:r>
      <w:proofErr w:type="gramEnd"/>
      <w:r w:rsidR="00DF6389" w:rsidRPr="00DF6389">
        <w:rPr>
          <w:rFonts w:ascii="宋体" w:eastAsia="宋体" w:hAnsi="宋体" w:hint="eastAsia"/>
          <w:sz w:val="24"/>
          <w:szCs w:val="24"/>
        </w:rPr>
        <w:t>继续</w:t>
      </w:r>
      <w:r w:rsidR="0024028C">
        <w:rPr>
          <w:rFonts w:ascii="宋体" w:eastAsia="宋体" w:hAnsi="宋体" w:hint="eastAsia"/>
          <w:sz w:val="24"/>
          <w:szCs w:val="24"/>
        </w:rPr>
        <w:t>聚焦</w:t>
      </w:r>
      <w:r w:rsidR="0024028C" w:rsidRPr="00F761D9">
        <w:rPr>
          <w:rFonts w:ascii="宋体" w:eastAsia="宋体" w:hAnsi="宋体" w:hint="eastAsia"/>
          <w:sz w:val="24"/>
          <w:szCs w:val="24"/>
        </w:rPr>
        <w:t>坚守</w:t>
      </w:r>
      <w:r w:rsidR="00DF6389" w:rsidRPr="00DF6389">
        <w:rPr>
          <w:rFonts w:ascii="宋体" w:eastAsia="宋体" w:hAnsi="宋体" w:hint="eastAsia"/>
          <w:sz w:val="24"/>
          <w:szCs w:val="24"/>
        </w:rPr>
        <w:t>这一核心品类，抵御竞争冲击，确保基本盘的稳定与增长。</w:t>
      </w:r>
      <w:r w:rsidR="0024028C">
        <w:rPr>
          <w:rFonts w:ascii="宋体" w:eastAsia="宋体" w:hAnsi="宋体" w:hint="eastAsia"/>
          <w:sz w:val="24"/>
          <w:szCs w:val="24"/>
        </w:rPr>
        <w:t>二是</w:t>
      </w:r>
      <w:r w:rsidR="00DF6389" w:rsidRPr="00DF6389">
        <w:rPr>
          <w:rFonts w:ascii="宋体" w:eastAsia="宋体" w:hAnsi="宋体" w:hint="eastAsia"/>
          <w:sz w:val="24"/>
          <w:szCs w:val="24"/>
        </w:rPr>
        <w:t>布局趋势新品，寻求</w:t>
      </w:r>
      <w:r w:rsidR="0024028C">
        <w:rPr>
          <w:rFonts w:ascii="宋体" w:eastAsia="宋体" w:hAnsi="宋体" w:hint="eastAsia"/>
          <w:sz w:val="24"/>
          <w:szCs w:val="24"/>
        </w:rPr>
        <w:t>产品层面的</w:t>
      </w:r>
      <w:r w:rsidR="00DF6389" w:rsidRPr="00DF6389">
        <w:rPr>
          <w:rFonts w:ascii="宋体" w:eastAsia="宋体" w:hAnsi="宋体" w:hint="eastAsia"/>
          <w:sz w:val="24"/>
          <w:szCs w:val="24"/>
        </w:rPr>
        <w:t>突破点</w:t>
      </w:r>
      <w:r w:rsidR="0024028C">
        <w:rPr>
          <w:rFonts w:ascii="宋体" w:eastAsia="宋体" w:hAnsi="宋体" w:hint="eastAsia"/>
          <w:sz w:val="24"/>
          <w:szCs w:val="24"/>
        </w:rPr>
        <w:t>。</w:t>
      </w:r>
      <w:r w:rsidR="0024028C" w:rsidRPr="0024028C">
        <w:rPr>
          <w:rFonts w:ascii="宋体" w:eastAsia="宋体" w:hAnsi="宋体" w:hint="eastAsia"/>
          <w:sz w:val="24"/>
          <w:szCs w:val="24"/>
        </w:rPr>
        <w:t>要在越来越激烈的底</w:t>
      </w:r>
      <w:proofErr w:type="gramStart"/>
      <w:r w:rsidR="0024028C" w:rsidRPr="0024028C">
        <w:rPr>
          <w:rFonts w:ascii="宋体" w:eastAsia="宋体" w:hAnsi="宋体" w:hint="eastAsia"/>
          <w:sz w:val="24"/>
          <w:szCs w:val="24"/>
        </w:rPr>
        <w:t>妆市场</w:t>
      </w:r>
      <w:proofErr w:type="gramEnd"/>
      <w:r w:rsidR="0024028C" w:rsidRPr="0024028C">
        <w:rPr>
          <w:rFonts w:ascii="宋体" w:eastAsia="宋体" w:hAnsi="宋体" w:hint="eastAsia"/>
          <w:sz w:val="24"/>
          <w:szCs w:val="24"/>
        </w:rPr>
        <w:t>上面保持份额并获得增长</w:t>
      </w:r>
      <w:r w:rsidR="0024028C">
        <w:rPr>
          <w:rFonts w:ascii="宋体" w:eastAsia="宋体" w:hAnsi="宋体" w:hint="eastAsia"/>
          <w:sz w:val="24"/>
          <w:szCs w:val="24"/>
        </w:rPr>
        <w:t>，</w:t>
      </w:r>
      <w:r w:rsidR="00DF6389" w:rsidRPr="00DF6389">
        <w:rPr>
          <w:rFonts w:ascii="宋体" w:eastAsia="宋体" w:hAnsi="宋体" w:hint="eastAsia"/>
          <w:sz w:val="24"/>
          <w:szCs w:val="24"/>
        </w:rPr>
        <w:t>仅靠延续过去成功经验已不足以应对</w:t>
      </w:r>
      <w:r w:rsidR="0024028C">
        <w:rPr>
          <w:rFonts w:ascii="宋体" w:eastAsia="宋体" w:hAnsi="宋体" w:hint="eastAsia"/>
          <w:sz w:val="24"/>
          <w:szCs w:val="24"/>
        </w:rPr>
        <w:t>，</w:t>
      </w:r>
      <w:r w:rsidR="0024028C" w:rsidRPr="00F761D9">
        <w:rPr>
          <w:rFonts w:ascii="宋体" w:eastAsia="宋体" w:hAnsi="宋体" w:hint="eastAsia"/>
          <w:sz w:val="24"/>
          <w:szCs w:val="24"/>
        </w:rPr>
        <w:t>需要在更多方面创新、做得更好。</w:t>
      </w:r>
      <w:r w:rsidRPr="00F761D9">
        <w:rPr>
          <w:rFonts w:ascii="宋体" w:eastAsia="宋体" w:hAnsi="宋体" w:hint="eastAsia"/>
          <w:sz w:val="24"/>
          <w:szCs w:val="24"/>
        </w:rPr>
        <w:t>凭借在品牌心智和卡位上的先发优势，我们有信心在竞争中守住“底妆首选/优选品牌”的市场地位。</w:t>
      </w:r>
    </w:p>
    <w:p w14:paraId="1BB56983" w14:textId="7A12790B" w:rsidR="00F761D9" w:rsidRPr="00F761D9" w:rsidRDefault="00F761D9" w:rsidP="000977C6">
      <w:pPr>
        <w:spacing w:beforeLines="50" w:before="120" w:afterLines="50" w:after="120" w:line="430" w:lineRule="exact"/>
        <w:ind w:firstLineChars="196" w:firstLine="472"/>
        <w:rPr>
          <w:rFonts w:ascii="宋体" w:eastAsia="宋体" w:hAnsi="宋体" w:hint="eastAsia"/>
          <w:b/>
          <w:bCs/>
          <w:sz w:val="24"/>
          <w:szCs w:val="24"/>
        </w:rPr>
      </w:pPr>
      <w:r w:rsidRPr="00F761D9">
        <w:rPr>
          <w:rFonts w:ascii="宋体" w:eastAsia="宋体" w:hAnsi="宋体" w:hint="eastAsia"/>
          <w:b/>
          <w:bCs/>
          <w:sz w:val="24"/>
          <w:szCs w:val="24"/>
        </w:rPr>
        <w:t>Q1</w:t>
      </w:r>
      <w:r w:rsidR="008F466B">
        <w:rPr>
          <w:rFonts w:ascii="宋体" w:eastAsia="宋体" w:hAnsi="宋体" w:hint="eastAsia"/>
          <w:b/>
          <w:bCs/>
          <w:sz w:val="24"/>
          <w:szCs w:val="24"/>
        </w:rPr>
        <w:t>0</w:t>
      </w:r>
      <w:r w:rsidRPr="00F761D9">
        <w:rPr>
          <w:rFonts w:ascii="宋体" w:eastAsia="宋体" w:hAnsi="宋体" w:hint="eastAsia"/>
          <w:b/>
          <w:bCs/>
          <w:sz w:val="24"/>
          <w:szCs w:val="24"/>
        </w:rPr>
        <w:t>、如何看待国际大牌增速回暖的现象？国货品牌应从哪些方面进行调整以应对竞争？</w:t>
      </w:r>
    </w:p>
    <w:p w14:paraId="593E6265" w14:textId="6060C4F2" w:rsidR="001A6431" w:rsidRPr="001A6431" w:rsidRDefault="00F761D9" w:rsidP="001A6431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F761D9">
        <w:rPr>
          <w:rFonts w:ascii="宋体" w:eastAsia="宋体" w:hAnsi="宋体" w:hint="eastAsia"/>
          <w:sz w:val="24"/>
          <w:szCs w:val="24"/>
        </w:rPr>
        <w:t>A</w:t>
      </w:r>
      <w:r w:rsidR="008F466B">
        <w:rPr>
          <w:rFonts w:ascii="宋体" w:eastAsia="宋体" w:hAnsi="宋体" w:hint="eastAsia"/>
          <w:sz w:val="24"/>
          <w:szCs w:val="24"/>
        </w:rPr>
        <w:t>：</w:t>
      </w:r>
      <w:r w:rsidR="001A6431" w:rsidRPr="001A6431">
        <w:rPr>
          <w:rFonts w:ascii="宋体" w:eastAsia="宋体" w:hAnsi="宋体" w:hint="eastAsia"/>
          <w:sz w:val="24"/>
          <w:szCs w:val="24"/>
        </w:rPr>
        <w:t>我们观察到国际</w:t>
      </w:r>
      <w:proofErr w:type="gramStart"/>
      <w:r w:rsidR="001A6431" w:rsidRPr="001A6431">
        <w:rPr>
          <w:rFonts w:ascii="宋体" w:eastAsia="宋体" w:hAnsi="宋体" w:hint="eastAsia"/>
          <w:sz w:val="24"/>
          <w:szCs w:val="24"/>
        </w:rPr>
        <w:t>品牌近期</w:t>
      </w:r>
      <w:proofErr w:type="gramEnd"/>
      <w:r w:rsidR="001A6431" w:rsidRPr="001A6431">
        <w:rPr>
          <w:rFonts w:ascii="宋体" w:eastAsia="宋体" w:hAnsi="宋体" w:hint="eastAsia"/>
          <w:sz w:val="24"/>
          <w:szCs w:val="24"/>
        </w:rPr>
        <w:t>增速有所回暖，这在意料之中，也是市场竞争常态化的体现。数据显示，国产品牌在中国化妆品市场的份额从2023年首次突破50%，到2024年</w:t>
      </w:r>
      <w:r w:rsidR="001A6431">
        <w:rPr>
          <w:rFonts w:ascii="宋体" w:eastAsia="宋体" w:hAnsi="宋体" w:hint="eastAsia"/>
          <w:sz w:val="24"/>
          <w:szCs w:val="24"/>
        </w:rPr>
        <w:t>达到</w:t>
      </w:r>
      <w:r w:rsidR="001A6431" w:rsidRPr="001A6431">
        <w:rPr>
          <w:rFonts w:ascii="宋体" w:eastAsia="宋体" w:hAnsi="宋体" w:hint="eastAsia"/>
          <w:sz w:val="24"/>
          <w:szCs w:val="24"/>
        </w:rPr>
        <w:t>55%，2025年进一步提升至57.4%。尽管份额增速有所波动，但持续向上的趋势明确。国际品牌为稳固其全球市场地位，必然会在中国市场展开更激烈的反扑，这恰恰证明了中国市场的重要性与活力，竞争加剧是行业发展的必然阶段。</w:t>
      </w:r>
    </w:p>
    <w:p w14:paraId="2A553037" w14:textId="77041ACC" w:rsidR="001A6431" w:rsidRPr="001A6431" w:rsidRDefault="001A6431" w:rsidP="001A6431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1A6431">
        <w:rPr>
          <w:rFonts w:ascii="宋体" w:eastAsia="宋体" w:hAnsi="宋体" w:hint="eastAsia"/>
          <w:sz w:val="24"/>
          <w:szCs w:val="24"/>
        </w:rPr>
        <w:t>面对国际品牌的竞争，中国优秀国货品牌已构建起全方位的体系化能力。</w:t>
      </w:r>
      <w:r>
        <w:rPr>
          <w:rFonts w:ascii="宋体" w:eastAsia="宋体" w:hAnsi="宋体" w:hint="eastAsia"/>
          <w:sz w:val="24"/>
          <w:szCs w:val="24"/>
        </w:rPr>
        <w:t>一</w:t>
      </w:r>
      <w:r w:rsidR="000977C6">
        <w:rPr>
          <w:rFonts w:ascii="宋体" w:eastAsia="宋体" w:hAnsi="宋体" w:hint="eastAsia"/>
          <w:sz w:val="24"/>
          <w:szCs w:val="24"/>
        </w:rPr>
        <w:t>是</w:t>
      </w:r>
      <w:r w:rsidRPr="001A6431">
        <w:rPr>
          <w:rFonts w:ascii="宋体" w:eastAsia="宋体" w:hAnsi="宋体" w:hint="eastAsia"/>
          <w:sz w:val="24"/>
          <w:szCs w:val="24"/>
        </w:rPr>
        <w:t>我们已建立起更敏捷、更贴近中国消费者需求的研发与供应链体系。</w:t>
      </w:r>
      <w:r>
        <w:rPr>
          <w:rFonts w:ascii="宋体" w:eastAsia="宋体" w:hAnsi="宋体" w:hint="eastAsia"/>
          <w:sz w:val="24"/>
          <w:szCs w:val="24"/>
        </w:rPr>
        <w:t>二是</w:t>
      </w:r>
      <w:r w:rsidRPr="001A6431">
        <w:rPr>
          <w:rFonts w:ascii="宋体" w:eastAsia="宋体" w:hAnsi="宋体" w:hint="eastAsia"/>
          <w:sz w:val="24"/>
          <w:szCs w:val="24"/>
        </w:rPr>
        <w:t>在品牌视觉、产品设计上，国货品牌更懂当代中国消费者的审美偏好，能够推出真正引发文化共鸣、令人耳目一新的产品与视觉形象。</w:t>
      </w:r>
      <w:r>
        <w:rPr>
          <w:rFonts w:ascii="宋体" w:eastAsia="宋体" w:hAnsi="宋体" w:hint="eastAsia"/>
          <w:sz w:val="24"/>
          <w:szCs w:val="24"/>
        </w:rPr>
        <w:t>三是</w:t>
      </w:r>
      <w:r w:rsidRPr="001A6431">
        <w:rPr>
          <w:rFonts w:ascii="宋体" w:eastAsia="宋体" w:hAnsi="宋体" w:hint="eastAsia"/>
          <w:sz w:val="24"/>
          <w:szCs w:val="24"/>
        </w:rPr>
        <w:t>大量拥有国际视野和高学历的优秀人才持续涌入国货美妆行业，为品牌带来了前沿的认知与创新能力。</w:t>
      </w:r>
      <w:r>
        <w:rPr>
          <w:rFonts w:ascii="宋体" w:eastAsia="宋体" w:hAnsi="宋体" w:hint="eastAsia"/>
          <w:sz w:val="24"/>
          <w:szCs w:val="24"/>
        </w:rPr>
        <w:t>四是</w:t>
      </w:r>
      <w:r w:rsidRPr="001A6431">
        <w:rPr>
          <w:rFonts w:ascii="宋体" w:eastAsia="宋体" w:hAnsi="宋体" w:hint="eastAsia"/>
          <w:sz w:val="24"/>
          <w:szCs w:val="24"/>
        </w:rPr>
        <w:t>活跃的国内资本市场以及众多国货美</w:t>
      </w:r>
      <w:proofErr w:type="gramStart"/>
      <w:r w:rsidRPr="001A6431">
        <w:rPr>
          <w:rFonts w:ascii="宋体" w:eastAsia="宋体" w:hAnsi="宋体" w:hint="eastAsia"/>
          <w:sz w:val="24"/>
          <w:szCs w:val="24"/>
        </w:rPr>
        <w:t>妆公司</w:t>
      </w:r>
      <w:proofErr w:type="gramEnd"/>
      <w:r w:rsidRPr="001A6431">
        <w:rPr>
          <w:rFonts w:ascii="宋体" w:eastAsia="宋体" w:hAnsi="宋体" w:hint="eastAsia"/>
          <w:sz w:val="24"/>
          <w:szCs w:val="24"/>
        </w:rPr>
        <w:t>拥有的上市融资平台，为品牌的长期发展提供了坚实的资金保障。</w:t>
      </w:r>
    </w:p>
    <w:p w14:paraId="5F3AE4C6" w14:textId="73850356" w:rsidR="001A6431" w:rsidRDefault="001A6431" w:rsidP="001A6431">
      <w:pPr>
        <w:spacing w:line="430" w:lineRule="exact"/>
        <w:ind w:firstLineChars="196" w:firstLine="470"/>
        <w:rPr>
          <w:rFonts w:ascii="宋体" w:eastAsia="宋体" w:hAnsi="宋体" w:hint="eastAsia"/>
          <w:sz w:val="24"/>
          <w:szCs w:val="24"/>
        </w:rPr>
      </w:pPr>
      <w:r w:rsidRPr="001A6431">
        <w:rPr>
          <w:rFonts w:ascii="宋体" w:eastAsia="宋体" w:hAnsi="宋体" w:hint="eastAsia"/>
          <w:sz w:val="24"/>
          <w:szCs w:val="24"/>
        </w:rPr>
        <w:t>国际品牌的阶段性回暖不会改变国货崛起的大趋势。只要中国优秀品牌能够持续在研发、供应链、品牌</w:t>
      </w:r>
      <w:r>
        <w:rPr>
          <w:rFonts w:ascii="宋体" w:eastAsia="宋体" w:hAnsi="宋体" w:hint="eastAsia"/>
          <w:sz w:val="24"/>
          <w:szCs w:val="24"/>
        </w:rPr>
        <w:t>、</w:t>
      </w:r>
      <w:r w:rsidRPr="001A6431">
        <w:rPr>
          <w:rFonts w:ascii="宋体" w:eastAsia="宋体" w:hAnsi="宋体" w:hint="eastAsia"/>
          <w:sz w:val="24"/>
          <w:szCs w:val="24"/>
        </w:rPr>
        <w:t>审美</w:t>
      </w:r>
      <w:r>
        <w:rPr>
          <w:rFonts w:ascii="宋体" w:eastAsia="宋体" w:hAnsi="宋体" w:hint="eastAsia"/>
          <w:sz w:val="24"/>
          <w:szCs w:val="24"/>
        </w:rPr>
        <w:t>、渠道</w:t>
      </w:r>
      <w:r w:rsidRPr="001A6431">
        <w:rPr>
          <w:rFonts w:ascii="宋体" w:eastAsia="宋体" w:hAnsi="宋体" w:hint="eastAsia"/>
          <w:sz w:val="24"/>
          <w:szCs w:val="24"/>
        </w:rPr>
        <w:t>上</w:t>
      </w:r>
      <w:r w:rsidR="00D8271F" w:rsidRPr="00F761D9">
        <w:rPr>
          <w:rFonts w:ascii="宋体" w:eastAsia="宋体" w:hAnsi="宋体" w:hint="eastAsia"/>
          <w:sz w:val="24"/>
          <w:szCs w:val="24"/>
        </w:rPr>
        <w:t>努力，无论跨国品牌如何反</w:t>
      </w:r>
      <w:r w:rsidR="00F15E26">
        <w:rPr>
          <w:rFonts w:ascii="宋体" w:eastAsia="宋体" w:hAnsi="宋体" w:hint="eastAsia"/>
          <w:sz w:val="24"/>
          <w:szCs w:val="24"/>
        </w:rPr>
        <w:t>扑</w:t>
      </w:r>
      <w:r w:rsidR="00D8271F" w:rsidRPr="00F761D9">
        <w:rPr>
          <w:rFonts w:ascii="宋体" w:eastAsia="宋体" w:hAnsi="宋体" w:hint="eastAsia"/>
          <w:sz w:val="24"/>
          <w:szCs w:val="24"/>
        </w:rPr>
        <w:t>，</w:t>
      </w:r>
      <w:r w:rsidRPr="001A6431">
        <w:rPr>
          <w:rFonts w:ascii="宋体" w:eastAsia="宋体" w:hAnsi="宋体" w:hint="eastAsia"/>
          <w:sz w:val="24"/>
          <w:szCs w:val="24"/>
        </w:rPr>
        <w:t>国货占据</w:t>
      </w:r>
      <w:r>
        <w:rPr>
          <w:rFonts w:ascii="宋体" w:eastAsia="宋体" w:hAnsi="宋体" w:hint="eastAsia"/>
          <w:sz w:val="24"/>
          <w:szCs w:val="24"/>
        </w:rPr>
        <w:t>中国</w:t>
      </w:r>
      <w:r w:rsidRPr="001A6431">
        <w:rPr>
          <w:rFonts w:ascii="宋体" w:eastAsia="宋体" w:hAnsi="宋体" w:hint="eastAsia"/>
          <w:sz w:val="24"/>
          <w:szCs w:val="24"/>
        </w:rPr>
        <w:t>市场主导地位的格局终将实现。</w:t>
      </w:r>
    </w:p>
    <w:p w14:paraId="0CCDA7CA" w14:textId="77777777" w:rsidR="000977C6" w:rsidRDefault="000977C6">
      <w:pPr>
        <w:widowControl/>
        <w:jc w:val="left"/>
        <w:rPr>
          <w:rFonts w:ascii="宋体" w:eastAsia="宋体" w:hAnsi="宋体" w:cs="Arial" w:hint="eastAsia"/>
          <w:sz w:val="24"/>
          <w:szCs w:val="21"/>
        </w:rPr>
      </w:pPr>
      <w:r>
        <w:rPr>
          <w:rFonts w:ascii="宋体" w:eastAsia="宋体" w:hAnsi="宋体" w:cs="Arial" w:hint="eastAsia"/>
          <w:sz w:val="24"/>
          <w:szCs w:val="21"/>
        </w:rPr>
        <w:br w:type="page"/>
      </w:r>
    </w:p>
    <w:p w14:paraId="10E94AE1" w14:textId="3774898D" w:rsidR="006A6506" w:rsidRDefault="00880867" w:rsidP="00821B71">
      <w:pPr>
        <w:spacing w:line="360" w:lineRule="auto"/>
        <w:ind w:firstLineChars="200" w:firstLine="480"/>
        <w:rPr>
          <w:sz w:val="24"/>
          <w:szCs w:val="24"/>
        </w:rPr>
      </w:pPr>
      <w:r w:rsidRPr="00821B71">
        <w:rPr>
          <w:rFonts w:hint="eastAsia"/>
          <w:sz w:val="24"/>
          <w:szCs w:val="24"/>
        </w:rPr>
        <w:lastRenderedPageBreak/>
        <w:t>附件：参会机构清单（按拼音字母排序，排名不分先后）</w:t>
      </w:r>
    </w:p>
    <w:p w14:paraId="2E58FC15" w14:textId="77777777" w:rsidR="00A77D41" w:rsidRDefault="00A77D41" w:rsidP="00821B71">
      <w:pPr>
        <w:spacing w:line="360" w:lineRule="auto"/>
        <w:ind w:firstLineChars="200" w:firstLine="480"/>
        <w:rPr>
          <w:sz w:val="24"/>
          <w:szCs w:val="24"/>
        </w:rPr>
      </w:pPr>
    </w:p>
    <w:tbl>
      <w:tblPr>
        <w:tblW w:w="8758" w:type="dxa"/>
        <w:jc w:val="center"/>
        <w:tblLook w:val="04A0" w:firstRow="1" w:lastRow="0" w:firstColumn="1" w:lastColumn="0" w:noHBand="0" w:noVBand="1"/>
      </w:tblPr>
      <w:tblGrid>
        <w:gridCol w:w="3059"/>
        <w:gridCol w:w="3039"/>
        <w:gridCol w:w="2660"/>
      </w:tblGrid>
      <w:tr w:rsidR="00A77D41" w:rsidRPr="00FE683B" w14:paraId="2B756B6A" w14:textId="77777777" w:rsidTr="00AF22C9">
        <w:trPr>
          <w:trHeight w:val="567"/>
          <w:jc w:val="center"/>
        </w:trPr>
        <w:tc>
          <w:tcPr>
            <w:tcW w:w="3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C6CC50D" w14:textId="77777777" w:rsidR="00A77D41" w:rsidRPr="00D432F4" w:rsidRDefault="00A77D41" w:rsidP="00AF22C9">
            <w:pPr>
              <w:widowControl/>
              <w:jc w:val="left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爱建证券</w:t>
            </w:r>
          </w:p>
        </w:tc>
        <w:tc>
          <w:tcPr>
            <w:tcW w:w="3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D050E6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国泰君安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BC64D7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彤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源投资</w:t>
            </w:r>
          </w:p>
        </w:tc>
      </w:tr>
      <w:tr w:rsidR="00A77D41" w:rsidRPr="00FE683B" w14:paraId="224E5135" w14:textId="77777777" w:rsidTr="00AF22C9">
        <w:trPr>
          <w:trHeight w:val="567"/>
          <w:jc w:val="center"/>
        </w:trPr>
        <w:tc>
          <w:tcPr>
            <w:tcW w:w="3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2A69D25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百年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保险资管</w:t>
            </w:r>
            <w:proofErr w:type="gramEnd"/>
          </w:p>
        </w:tc>
        <w:tc>
          <w:tcPr>
            <w:tcW w:w="3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CE773E6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国信证券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6562821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西部利得基金</w:t>
            </w:r>
          </w:p>
        </w:tc>
      </w:tr>
      <w:tr w:rsidR="00A77D41" w:rsidRPr="00FE683B" w14:paraId="028398DD" w14:textId="77777777" w:rsidTr="00AF22C9">
        <w:trPr>
          <w:trHeight w:val="567"/>
          <w:jc w:val="center"/>
        </w:trPr>
        <w:tc>
          <w:tcPr>
            <w:tcW w:w="3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18E2237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财通证券</w:t>
            </w:r>
          </w:p>
        </w:tc>
        <w:tc>
          <w:tcPr>
            <w:tcW w:w="3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C36828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国元证券</w:t>
            </w:r>
            <w:proofErr w:type="gramEnd"/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7F87A5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新财富数字科技</w:t>
            </w:r>
          </w:p>
        </w:tc>
      </w:tr>
      <w:tr w:rsidR="00A77D41" w:rsidRPr="00FE683B" w14:paraId="177B6A21" w14:textId="77777777" w:rsidTr="00AF22C9">
        <w:trPr>
          <w:trHeight w:val="567"/>
          <w:jc w:val="center"/>
        </w:trPr>
        <w:tc>
          <w:tcPr>
            <w:tcW w:w="3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D8C1A8C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东北证券</w:t>
            </w:r>
          </w:p>
        </w:tc>
        <w:tc>
          <w:tcPr>
            <w:tcW w:w="3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2E3328B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华创证券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16EC7D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兴业证券</w:t>
            </w:r>
          </w:p>
        </w:tc>
      </w:tr>
      <w:tr w:rsidR="00A77D41" w:rsidRPr="00FE683B" w14:paraId="4D9BC266" w14:textId="77777777" w:rsidTr="00AF22C9">
        <w:trPr>
          <w:trHeight w:val="567"/>
          <w:jc w:val="center"/>
        </w:trPr>
        <w:tc>
          <w:tcPr>
            <w:tcW w:w="3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A32B0F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东方财富证券</w:t>
            </w:r>
          </w:p>
        </w:tc>
        <w:tc>
          <w:tcPr>
            <w:tcW w:w="3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2B7CBB2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华金证券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00E3F35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兴亿投资</w:t>
            </w:r>
            <w:proofErr w:type="gramEnd"/>
          </w:p>
        </w:tc>
      </w:tr>
      <w:tr w:rsidR="00A77D41" w:rsidRPr="00FE683B" w14:paraId="32BD154A" w14:textId="77777777" w:rsidTr="00AF22C9">
        <w:trPr>
          <w:trHeight w:val="567"/>
          <w:jc w:val="center"/>
        </w:trPr>
        <w:tc>
          <w:tcPr>
            <w:tcW w:w="3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B7D9D57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东吴证券</w:t>
            </w:r>
          </w:p>
        </w:tc>
        <w:tc>
          <w:tcPr>
            <w:tcW w:w="3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0A0E16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华泰证券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CB4906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甬兴证券</w:t>
            </w:r>
            <w:proofErr w:type="gramEnd"/>
          </w:p>
        </w:tc>
      </w:tr>
      <w:tr w:rsidR="00A77D41" w:rsidRPr="00FE683B" w14:paraId="5086C4BB" w14:textId="77777777" w:rsidTr="00AF22C9">
        <w:trPr>
          <w:trHeight w:val="567"/>
          <w:jc w:val="center"/>
        </w:trPr>
        <w:tc>
          <w:tcPr>
            <w:tcW w:w="3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E694DF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方正证券</w:t>
            </w:r>
          </w:p>
        </w:tc>
        <w:tc>
          <w:tcPr>
            <w:tcW w:w="3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E9F273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华西证券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C06EB8A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涌乐私募</w:t>
            </w:r>
            <w:proofErr w:type="gramEnd"/>
          </w:p>
        </w:tc>
      </w:tr>
      <w:tr w:rsidR="00A77D41" w:rsidRPr="00FE683B" w14:paraId="03E4976E" w14:textId="77777777" w:rsidTr="00AF22C9">
        <w:trPr>
          <w:trHeight w:val="567"/>
          <w:jc w:val="center"/>
        </w:trPr>
        <w:tc>
          <w:tcPr>
            <w:tcW w:w="3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360B3B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高盛亚洲</w:t>
            </w:r>
          </w:p>
        </w:tc>
        <w:tc>
          <w:tcPr>
            <w:tcW w:w="3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D59B357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华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源证券</w:t>
            </w:r>
            <w:proofErr w:type="gramEnd"/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54219CC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长江证券</w:t>
            </w:r>
          </w:p>
        </w:tc>
      </w:tr>
      <w:tr w:rsidR="00A77D41" w:rsidRPr="00FE683B" w14:paraId="6571CCBA" w14:textId="77777777" w:rsidTr="00AF22C9">
        <w:trPr>
          <w:trHeight w:val="567"/>
          <w:jc w:val="center"/>
        </w:trPr>
        <w:tc>
          <w:tcPr>
            <w:tcW w:w="3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3921539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高盛中国</w:t>
            </w:r>
          </w:p>
        </w:tc>
        <w:tc>
          <w:tcPr>
            <w:tcW w:w="3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64529BD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宽潭资本</w:t>
            </w:r>
            <w:proofErr w:type="gramEnd"/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65EFF37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招商证券</w:t>
            </w:r>
          </w:p>
        </w:tc>
      </w:tr>
      <w:tr w:rsidR="00A77D41" w:rsidRPr="00FE683B" w14:paraId="57C16355" w14:textId="77777777" w:rsidTr="00AF22C9">
        <w:trPr>
          <w:trHeight w:val="567"/>
          <w:jc w:val="center"/>
        </w:trPr>
        <w:tc>
          <w:tcPr>
            <w:tcW w:w="3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C7DD0D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耕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霁投资</w:t>
            </w:r>
            <w:proofErr w:type="gramEnd"/>
          </w:p>
        </w:tc>
        <w:tc>
          <w:tcPr>
            <w:tcW w:w="3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37821A0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摩根大通证券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AED22A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招银国际</w:t>
            </w:r>
          </w:p>
        </w:tc>
      </w:tr>
      <w:tr w:rsidR="00A77D41" w:rsidRPr="00FE683B" w14:paraId="4FEEFC2D" w14:textId="77777777" w:rsidTr="00AF22C9">
        <w:trPr>
          <w:trHeight w:val="567"/>
          <w:jc w:val="center"/>
        </w:trPr>
        <w:tc>
          <w:tcPr>
            <w:tcW w:w="3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10C980F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光大证券</w:t>
            </w:r>
          </w:p>
        </w:tc>
        <w:tc>
          <w:tcPr>
            <w:tcW w:w="3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324BAB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摩根士丹利亚洲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38DBF41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浙商证券</w:t>
            </w:r>
            <w:proofErr w:type="gramEnd"/>
          </w:p>
        </w:tc>
      </w:tr>
      <w:tr w:rsidR="00A77D41" w:rsidRPr="00FE683B" w14:paraId="0A26CCE4" w14:textId="77777777" w:rsidTr="00AF22C9">
        <w:trPr>
          <w:trHeight w:val="567"/>
          <w:jc w:val="center"/>
        </w:trPr>
        <w:tc>
          <w:tcPr>
            <w:tcW w:w="3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4D22D7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广发证券</w:t>
            </w:r>
          </w:p>
        </w:tc>
        <w:tc>
          <w:tcPr>
            <w:tcW w:w="3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03E5971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浦银安盛基金</w:t>
            </w:r>
            <w:proofErr w:type="gramEnd"/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2F9F488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中国银河国际</w:t>
            </w:r>
          </w:p>
        </w:tc>
      </w:tr>
      <w:tr w:rsidR="00A77D41" w:rsidRPr="00FE683B" w14:paraId="2554CCBB" w14:textId="77777777" w:rsidTr="00AF22C9">
        <w:trPr>
          <w:trHeight w:val="567"/>
          <w:jc w:val="center"/>
        </w:trPr>
        <w:tc>
          <w:tcPr>
            <w:tcW w:w="3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D8F053F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海证券</w:t>
            </w:r>
            <w:proofErr w:type="gramEnd"/>
          </w:p>
        </w:tc>
        <w:tc>
          <w:tcPr>
            <w:tcW w:w="3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2C90120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锐识咨询</w:t>
            </w:r>
            <w:proofErr w:type="gramEnd"/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3D0E27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中金公司</w:t>
            </w:r>
          </w:p>
        </w:tc>
      </w:tr>
      <w:tr w:rsidR="00A77D41" w:rsidRPr="00D432F4" w14:paraId="09D96695" w14:textId="77777777" w:rsidTr="00AF22C9">
        <w:trPr>
          <w:trHeight w:val="567"/>
          <w:jc w:val="center"/>
        </w:trPr>
        <w:tc>
          <w:tcPr>
            <w:tcW w:w="3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3EDE40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国金证券</w:t>
            </w:r>
          </w:p>
        </w:tc>
        <w:tc>
          <w:tcPr>
            <w:tcW w:w="3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E11F8F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瑞银证券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84706B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中泰证券</w:t>
            </w:r>
          </w:p>
        </w:tc>
      </w:tr>
      <w:tr w:rsidR="00A77D41" w:rsidRPr="00D432F4" w14:paraId="36ACCB05" w14:textId="77777777" w:rsidTr="00AF22C9">
        <w:trPr>
          <w:trHeight w:val="567"/>
          <w:jc w:val="center"/>
        </w:trPr>
        <w:tc>
          <w:tcPr>
            <w:tcW w:w="3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410DF6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国联民生证券</w:t>
            </w:r>
          </w:p>
        </w:tc>
        <w:tc>
          <w:tcPr>
            <w:tcW w:w="3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EC17A2B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上海国际信托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F78C1B9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中信证券</w:t>
            </w:r>
          </w:p>
        </w:tc>
      </w:tr>
      <w:tr w:rsidR="00A77D41" w:rsidRPr="00D432F4" w14:paraId="37D3B955" w14:textId="77777777" w:rsidTr="00AF22C9">
        <w:trPr>
          <w:trHeight w:val="567"/>
          <w:jc w:val="center"/>
        </w:trPr>
        <w:tc>
          <w:tcPr>
            <w:tcW w:w="3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DF55F7A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国盛证券</w:t>
            </w:r>
          </w:p>
        </w:tc>
        <w:tc>
          <w:tcPr>
            <w:tcW w:w="3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95C8AEF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申银万国证券研究所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4AD4D5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中银国际研究</w:t>
            </w:r>
          </w:p>
        </w:tc>
      </w:tr>
      <w:tr w:rsidR="00A77D41" w:rsidRPr="00D432F4" w14:paraId="6FFEC330" w14:textId="77777777" w:rsidTr="00AF22C9">
        <w:trPr>
          <w:trHeight w:val="567"/>
          <w:jc w:val="center"/>
        </w:trPr>
        <w:tc>
          <w:tcPr>
            <w:tcW w:w="3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079D66F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国泰基金</w:t>
            </w:r>
          </w:p>
        </w:tc>
        <w:tc>
          <w:tcPr>
            <w:tcW w:w="3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D243105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天风证券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0797EB6" w14:textId="77777777" w:rsidR="00A77D41" w:rsidRPr="00D432F4" w:rsidRDefault="00A77D41" w:rsidP="00AF22C9">
            <w:pPr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</w:p>
        </w:tc>
      </w:tr>
    </w:tbl>
    <w:p w14:paraId="7CBEFCE8" w14:textId="77777777" w:rsidR="00AA2FFE" w:rsidRDefault="00AA2FFE" w:rsidP="00821B71">
      <w:pPr>
        <w:spacing w:line="360" w:lineRule="auto"/>
        <w:ind w:firstLineChars="200" w:firstLine="480"/>
        <w:rPr>
          <w:sz w:val="24"/>
          <w:szCs w:val="24"/>
        </w:rPr>
      </w:pPr>
    </w:p>
    <w:p w14:paraId="24A0F552" w14:textId="77777777" w:rsidR="00EB14DB" w:rsidRDefault="00EB14DB" w:rsidP="00822BED">
      <w:pPr>
        <w:spacing w:line="360" w:lineRule="auto"/>
        <w:rPr>
          <w:sz w:val="24"/>
          <w:szCs w:val="24"/>
        </w:rPr>
      </w:pPr>
    </w:p>
    <w:sectPr w:rsidR="00EB14DB" w:rsidSect="00DE3A47">
      <w:headerReference w:type="default" r:id="rId8"/>
      <w:pgSz w:w="11907" w:h="16840" w:code="9"/>
      <w:pgMar w:top="1701" w:right="1525" w:bottom="1134" w:left="1684" w:header="993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0038" w14:textId="77777777" w:rsidR="00BA26C7" w:rsidRDefault="00BA26C7" w:rsidP="00940708">
      <w:r>
        <w:separator/>
      </w:r>
    </w:p>
  </w:endnote>
  <w:endnote w:type="continuationSeparator" w:id="0">
    <w:p w14:paraId="0BA4C20C" w14:textId="77777777" w:rsidR="00BA26C7" w:rsidRDefault="00BA26C7" w:rsidP="0094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08E60" w14:textId="77777777" w:rsidR="00BA26C7" w:rsidRDefault="00BA26C7" w:rsidP="00940708">
      <w:r>
        <w:separator/>
      </w:r>
    </w:p>
  </w:footnote>
  <w:footnote w:type="continuationSeparator" w:id="0">
    <w:p w14:paraId="7A391303" w14:textId="77777777" w:rsidR="00BA26C7" w:rsidRDefault="00BA26C7" w:rsidP="0094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64CD" w14:textId="77777777" w:rsidR="00E06D5E" w:rsidRDefault="00E06D5E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7C1CD1" wp14:editId="410B4E2E">
          <wp:simplePos x="0" y="0"/>
          <wp:positionH relativeFrom="column">
            <wp:posOffset>4321810</wp:posOffset>
          </wp:positionH>
          <wp:positionV relativeFrom="paragraph">
            <wp:posOffset>-219710</wp:posOffset>
          </wp:positionV>
          <wp:extent cx="1257300" cy="466725"/>
          <wp:effectExtent l="0" t="0" r="0" b="0"/>
          <wp:wrapNone/>
          <wp:docPr id="854841456" name="图片 854841456" descr="丸美新logo 2015(1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丸美新logo 2015(1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B2975"/>
    <w:multiLevelType w:val="hybridMultilevel"/>
    <w:tmpl w:val="62666FB0"/>
    <w:lvl w:ilvl="0" w:tplc="70C0E81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7671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08"/>
    <w:rsid w:val="00004B1B"/>
    <w:rsid w:val="00007CE2"/>
    <w:rsid w:val="000151E0"/>
    <w:rsid w:val="000158A2"/>
    <w:rsid w:val="0002121E"/>
    <w:rsid w:val="0002156A"/>
    <w:rsid w:val="0002438C"/>
    <w:rsid w:val="0002542E"/>
    <w:rsid w:val="00026228"/>
    <w:rsid w:val="0002655B"/>
    <w:rsid w:val="00031E83"/>
    <w:rsid w:val="00032575"/>
    <w:rsid w:val="00034539"/>
    <w:rsid w:val="000372EF"/>
    <w:rsid w:val="00040B44"/>
    <w:rsid w:val="00052482"/>
    <w:rsid w:val="00052C15"/>
    <w:rsid w:val="00053E91"/>
    <w:rsid w:val="00056B03"/>
    <w:rsid w:val="00057099"/>
    <w:rsid w:val="000572EC"/>
    <w:rsid w:val="00057C18"/>
    <w:rsid w:val="00060BFD"/>
    <w:rsid w:val="0006671B"/>
    <w:rsid w:val="00075752"/>
    <w:rsid w:val="000909BF"/>
    <w:rsid w:val="00090DBE"/>
    <w:rsid w:val="0009159F"/>
    <w:rsid w:val="00091A95"/>
    <w:rsid w:val="000923AF"/>
    <w:rsid w:val="00093E29"/>
    <w:rsid w:val="00094784"/>
    <w:rsid w:val="000977C6"/>
    <w:rsid w:val="000A0DAC"/>
    <w:rsid w:val="000A24EC"/>
    <w:rsid w:val="000A67E1"/>
    <w:rsid w:val="000B1E0F"/>
    <w:rsid w:val="000B7F01"/>
    <w:rsid w:val="000C46F3"/>
    <w:rsid w:val="000C66FF"/>
    <w:rsid w:val="000D2B14"/>
    <w:rsid w:val="000D2CB2"/>
    <w:rsid w:val="000E03DC"/>
    <w:rsid w:val="000E1AE8"/>
    <w:rsid w:val="000E66BC"/>
    <w:rsid w:val="000F03CD"/>
    <w:rsid w:val="000F6FFA"/>
    <w:rsid w:val="000F7982"/>
    <w:rsid w:val="00102BC0"/>
    <w:rsid w:val="0010339A"/>
    <w:rsid w:val="00106747"/>
    <w:rsid w:val="00106C8D"/>
    <w:rsid w:val="00106E84"/>
    <w:rsid w:val="00110FB6"/>
    <w:rsid w:val="00111935"/>
    <w:rsid w:val="00113548"/>
    <w:rsid w:val="001140F7"/>
    <w:rsid w:val="00120118"/>
    <w:rsid w:val="00125226"/>
    <w:rsid w:val="00133965"/>
    <w:rsid w:val="0014061F"/>
    <w:rsid w:val="00142FF1"/>
    <w:rsid w:val="001470EE"/>
    <w:rsid w:val="00147409"/>
    <w:rsid w:val="00152239"/>
    <w:rsid w:val="00152AA9"/>
    <w:rsid w:val="00154954"/>
    <w:rsid w:val="00155BE3"/>
    <w:rsid w:val="00167ACF"/>
    <w:rsid w:val="00171019"/>
    <w:rsid w:val="00175562"/>
    <w:rsid w:val="001773CB"/>
    <w:rsid w:val="001845AD"/>
    <w:rsid w:val="001867B2"/>
    <w:rsid w:val="00186E8A"/>
    <w:rsid w:val="00190EAB"/>
    <w:rsid w:val="00191B10"/>
    <w:rsid w:val="00192121"/>
    <w:rsid w:val="001A118B"/>
    <w:rsid w:val="001A189F"/>
    <w:rsid w:val="001A27F4"/>
    <w:rsid w:val="001A3572"/>
    <w:rsid w:val="001A6431"/>
    <w:rsid w:val="001B1106"/>
    <w:rsid w:val="001B1196"/>
    <w:rsid w:val="001B6FBC"/>
    <w:rsid w:val="001C1730"/>
    <w:rsid w:val="001C1A35"/>
    <w:rsid w:val="001C2721"/>
    <w:rsid w:val="001C3619"/>
    <w:rsid w:val="001C78D4"/>
    <w:rsid w:val="001C7ACD"/>
    <w:rsid w:val="001D22C8"/>
    <w:rsid w:val="001E120C"/>
    <w:rsid w:val="001E2533"/>
    <w:rsid w:val="001E5524"/>
    <w:rsid w:val="001F022E"/>
    <w:rsid w:val="001F056D"/>
    <w:rsid w:val="001F70E3"/>
    <w:rsid w:val="001F7D76"/>
    <w:rsid w:val="00200276"/>
    <w:rsid w:val="002025A5"/>
    <w:rsid w:val="00206258"/>
    <w:rsid w:val="002110BC"/>
    <w:rsid w:val="0021753B"/>
    <w:rsid w:val="00224F78"/>
    <w:rsid w:val="002258F2"/>
    <w:rsid w:val="0022606C"/>
    <w:rsid w:val="00226E6A"/>
    <w:rsid w:val="00227E71"/>
    <w:rsid w:val="00230C10"/>
    <w:rsid w:val="002332E2"/>
    <w:rsid w:val="0024028C"/>
    <w:rsid w:val="00241A12"/>
    <w:rsid w:val="00241F0D"/>
    <w:rsid w:val="0024528C"/>
    <w:rsid w:val="00245E72"/>
    <w:rsid w:val="002536BF"/>
    <w:rsid w:val="00256D21"/>
    <w:rsid w:val="00266B70"/>
    <w:rsid w:val="0027123C"/>
    <w:rsid w:val="002725F6"/>
    <w:rsid w:val="00272E75"/>
    <w:rsid w:val="00274749"/>
    <w:rsid w:val="00274ED7"/>
    <w:rsid w:val="00277803"/>
    <w:rsid w:val="00277AD7"/>
    <w:rsid w:val="00280303"/>
    <w:rsid w:val="00284866"/>
    <w:rsid w:val="002866A9"/>
    <w:rsid w:val="002921BA"/>
    <w:rsid w:val="0029431D"/>
    <w:rsid w:val="002A272A"/>
    <w:rsid w:val="002A3272"/>
    <w:rsid w:val="002B3D54"/>
    <w:rsid w:val="002B59E1"/>
    <w:rsid w:val="002B66DF"/>
    <w:rsid w:val="002B6705"/>
    <w:rsid w:val="002C5467"/>
    <w:rsid w:val="002E0A68"/>
    <w:rsid w:val="002E111A"/>
    <w:rsid w:val="002E382E"/>
    <w:rsid w:val="002F1705"/>
    <w:rsid w:val="00300F32"/>
    <w:rsid w:val="00301FC5"/>
    <w:rsid w:val="00303C76"/>
    <w:rsid w:val="00305802"/>
    <w:rsid w:val="0031341E"/>
    <w:rsid w:val="0031487E"/>
    <w:rsid w:val="00317E5A"/>
    <w:rsid w:val="003208F8"/>
    <w:rsid w:val="0032155B"/>
    <w:rsid w:val="00327015"/>
    <w:rsid w:val="003303CF"/>
    <w:rsid w:val="00330664"/>
    <w:rsid w:val="00330931"/>
    <w:rsid w:val="00330C0B"/>
    <w:rsid w:val="0033260C"/>
    <w:rsid w:val="003361CC"/>
    <w:rsid w:val="00336FD5"/>
    <w:rsid w:val="00337076"/>
    <w:rsid w:val="00340C2E"/>
    <w:rsid w:val="00341168"/>
    <w:rsid w:val="003437D4"/>
    <w:rsid w:val="00344872"/>
    <w:rsid w:val="00345EA2"/>
    <w:rsid w:val="00347323"/>
    <w:rsid w:val="00351C2B"/>
    <w:rsid w:val="00351CB4"/>
    <w:rsid w:val="00355C23"/>
    <w:rsid w:val="003566D9"/>
    <w:rsid w:val="00370873"/>
    <w:rsid w:val="00370A58"/>
    <w:rsid w:val="00375213"/>
    <w:rsid w:val="00375558"/>
    <w:rsid w:val="00376342"/>
    <w:rsid w:val="00376B1C"/>
    <w:rsid w:val="003776B6"/>
    <w:rsid w:val="0038213B"/>
    <w:rsid w:val="0038356F"/>
    <w:rsid w:val="00383810"/>
    <w:rsid w:val="00391D06"/>
    <w:rsid w:val="00394EE3"/>
    <w:rsid w:val="00396C19"/>
    <w:rsid w:val="00397815"/>
    <w:rsid w:val="003A007C"/>
    <w:rsid w:val="003A16B5"/>
    <w:rsid w:val="003A370A"/>
    <w:rsid w:val="003A3F96"/>
    <w:rsid w:val="003B4060"/>
    <w:rsid w:val="003B44DD"/>
    <w:rsid w:val="003C0FBE"/>
    <w:rsid w:val="003C7C52"/>
    <w:rsid w:val="003D1AD5"/>
    <w:rsid w:val="003D44E1"/>
    <w:rsid w:val="003D5C9D"/>
    <w:rsid w:val="003D66A7"/>
    <w:rsid w:val="003D733E"/>
    <w:rsid w:val="003D7477"/>
    <w:rsid w:val="003E204C"/>
    <w:rsid w:val="003E31DA"/>
    <w:rsid w:val="003E6AF2"/>
    <w:rsid w:val="003F0F68"/>
    <w:rsid w:val="003F6ED5"/>
    <w:rsid w:val="003F7B2B"/>
    <w:rsid w:val="004037C8"/>
    <w:rsid w:val="00403DBD"/>
    <w:rsid w:val="0040451E"/>
    <w:rsid w:val="00411051"/>
    <w:rsid w:val="004227AB"/>
    <w:rsid w:val="00430CAC"/>
    <w:rsid w:val="004317EC"/>
    <w:rsid w:val="004327B5"/>
    <w:rsid w:val="00437312"/>
    <w:rsid w:val="00451838"/>
    <w:rsid w:val="00451F27"/>
    <w:rsid w:val="00452030"/>
    <w:rsid w:val="00461896"/>
    <w:rsid w:val="00466C15"/>
    <w:rsid w:val="004743C2"/>
    <w:rsid w:val="0047525C"/>
    <w:rsid w:val="00476924"/>
    <w:rsid w:val="00476E3D"/>
    <w:rsid w:val="004824E5"/>
    <w:rsid w:val="00484622"/>
    <w:rsid w:val="00491CF1"/>
    <w:rsid w:val="0049697C"/>
    <w:rsid w:val="004A1C9B"/>
    <w:rsid w:val="004A2EEB"/>
    <w:rsid w:val="004B35B0"/>
    <w:rsid w:val="004B7704"/>
    <w:rsid w:val="004C0DD9"/>
    <w:rsid w:val="004C3C86"/>
    <w:rsid w:val="004C4032"/>
    <w:rsid w:val="004C6168"/>
    <w:rsid w:val="004D1287"/>
    <w:rsid w:val="004D2761"/>
    <w:rsid w:val="004D6FBE"/>
    <w:rsid w:val="004E3AD2"/>
    <w:rsid w:val="004E5225"/>
    <w:rsid w:val="004F1D77"/>
    <w:rsid w:val="004F20F0"/>
    <w:rsid w:val="004F3F21"/>
    <w:rsid w:val="004F4407"/>
    <w:rsid w:val="004F6002"/>
    <w:rsid w:val="00501D23"/>
    <w:rsid w:val="00507BB3"/>
    <w:rsid w:val="005131C4"/>
    <w:rsid w:val="00513993"/>
    <w:rsid w:val="005149DA"/>
    <w:rsid w:val="00516DB0"/>
    <w:rsid w:val="005171E4"/>
    <w:rsid w:val="0051767F"/>
    <w:rsid w:val="0051780D"/>
    <w:rsid w:val="00521600"/>
    <w:rsid w:val="00522B64"/>
    <w:rsid w:val="00522CE6"/>
    <w:rsid w:val="005263F1"/>
    <w:rsid w:val="00530175"/>
    <w:rsid w:val="00531DB4"/>
    <w:rsid w:val="00536AFE"/>
    <w:rsid w:val="00536F8A"/>
    <w:rsid w:val="00537486"/>
    <w:rsid w:val="00542AC0"/>
    <w:rsid w:val="00547741"/>
    <w:rsid w:val="00551A9D"/>
    <w:rsid w:val="00551FD9"/>
    <w:rsid w:val="005576DD"/>
    <w:rsid w:val="0056025A"/>
    <w:rsid w:val="00561568"/>
    <w:rsid w:val="00562FE0"/>
    <w:rsid w:val="00584AD4"/>
    <w:rsid w:val="0058535E"/>
    <w:rsid w:val="005858A2"/>
    <w:rsid w:val="00587179"/>
    <w:rsid w:val="005916E2"/>
    <w:rsid w:val="005926F2"/>
    <w:rsid w:val="0059467D"/>
    <w:rsid w:val="005975E1"/>
    <w:rsid w:val="005A54E5"/>
    <w:rsid w:val="005A593C"/>
    <w:rsid w:val="005B0B0B"/>
    <w:rsid w:val="005B2C8F"/>
    <w:rsid w:val="005B4680"/>
    <w:rsid w:val="005B7B7F"/>
    <w:rsid w:val="005C0C03"/>
    <w:rsid w:val="005C0CA6"/>
    <w:rsid w:val="005C13BB"/>
    <w:rsid w:val="005C1A72"/>
    <w:rsid w:val="005C262E"/>
    <w:rsid w:val="005C31F6"/>
    <w:rsid w:val="005C4B42"/>
    <w:rsid w:val="005D582F"/>
    <w:rsid w:val="005E18C8"/>
    <w:rsid w:val="005E1A65"/>
    <w:rsid w:val="005E32BC"/>
    <w:rsid w:val="005E3CA4"/>
    <w:rsid w:val="005E67F0"/>
    <w:rsid w:val="005F4FE4"/>
    <w:rsid w:val="005F630E"/>
    <w:rsid w:val="005F66B4"/>
    <w:rsid w:val="005F6C2C"/>
    <w:rsid w:val="006007F9"/>
    <w:rsid w:val="00601CBB"/>
    <w:rsid w:val="00603036"/>
    <w:rsid w:val="00603FAA"/>
    <w:rsid w:val="00604836"/>
    <w:rsid w:val="00610B76"/>
    <w:rsid w:val="00611E8A"/>
    <w:rsid w:val="0061215A"/>
    <w:rsid w:val="00614590"/>
    <w:rsid w:val="00620901"/>
    <w:rsid w:val="00620D72"/>
    <w:rsid w:val="00620E6E"/>
    <w:rsid w:val="006265DF"/>
    <w:rsid w:val="00630640"/>
    <w:rsid w:val="00635C2E"/>
    <w:rsid w:val="00635D6C"/>
    <w:rsid w:val="00637616"/>
    <w:rsid w:val="00643BD6"/>
    <w:rsid w:val="006443FA"/>
    <w:rsid w:val="00651DD8"/>
    <w:rsid w:val="00655E02"/>
    <w:rsid w:val="00655E22"/>
    <w:rsid w:val="00661075"/>
    <w:rsid w:val="00663081"/>
    <w:rsid w:val="006659B2"/>
    <w:rsid w:val="006720B3"/>
    <w:rsid w:val="006725A7"/>
    <w:rsid w:val="006744C8"/>
    <w:rsid w:val="00675E27"/>
    <w:rsid w:val="00677515"/>
    <w:rsid w:val="00680660"/>
    <w:rsid w:val="00684BC7"/>
    <w:rsid w:val="00685C57"/>
    <w:rsid w:val="00686830"/>
    <w:rsid w:val="00687077"/>
    <w:rsid w:val="006874C9"/>
    <w:rsid w:val="00692F6D"/>
    <w:rsid w:val="00694886"/>
    <w:rsid w:val="00696CD8"/>
    <w:rsid w:val="006A1AF6"/>
    <w:rsid w:val="006A49BE"/>
    <w:rsid w:val="006A6506"/>
    <w:rsid w:val="006A6675"/>
    <w:rsid w:val="006B25A2"/>
    <w:rsid w:val="006B7C33"/>
    <w:rsid w:val="006C1C17"/>
    <w:rsid w:val="006C4CAF"/>
    <w:rsid w:val="006C4F77"/>
    <w:rsid w:val="006C52A1"/>
    <w:rsid w:val="006C7778"/>
    <w:rsid w:val="006D39BA"/>
    <w:rsid w:val="006D59AE"/>
    <w:rsid w:val="006E1E69"/>
    <w:rsid w:val="006E2AFC"/>
    <w:rsid w:val="006E312A"/>
    <w:rsid w:val="006E3F92"/>
    <w:rsid w:val="006E7EAB"/>
    <w:rsid w:val="006F4297"/>
    <w:rsid w:val="006F7F43"/>
    <w:rsid w:val="00705665"/>
    <w:rsid w:val="0071173A"/>
    <w:rsid w:val="00712D5B"/>
    <w:rsid w:val="00717114"/>
    <w:rsid w:val="00722740"/>
    <w:rsid w:val="00732852"/>
    <w:rsid w:val="007346A8"/>
    <w:rsid w:val="00740413"/>
    <w:rsid w:val="00744AF0"/>
    <w:rsid w:val="00745F6B"/>
    <w:rsid w:val="00747CCF"/>
    <w:rsid w:val="00747E6D"/>
    <w:rsid w:val="00760711"/>
    <w:rsid w:val="00762FBA"/>
    <w:rsid w:val="00765300"/>
    <w:rsid w:val="007657A7"/>
    <w:rsid w:val="00770CED"/>
    <w:rsid w:val="0077799B"/>
    <w:rsid w:val="007814A9"/>
    <w:rsid w:val="007814B2"/>
    <w:rsid w:val="00793914"/>
    <w:rsid w:val="007A2D5F"/>
    <w:rsid w:val="007A5E25"/>
    <w:rsid w:val="007A762E"/>
    <w:rsid w:val="007B0D7B"/>
    <w:rsid w:val="007B116D"/>
    <w:rsid w:val="007B1622"/>
    <w:rsid w:val="007B36B6"/>
    <w:rsid w:val="007C16CB"/>
    <w:rsid w:val="007C2F40"/>
    <w:rsid w:val="007D19FD"/>
    <w:rsid w:val="007D5194"/>
    <w:rsid w:val="007D631E"/>
    <w:rsid w:val="007E0FB8"/>
    <w:rsid w:val="007E18D6"/>
    <w:rsid w:val="007E2175"/>
    <w:rsid w:val="007E2679"/>
    <w:rsid w:val="007E5FC4"/>
    <w:rsid w:val="007F5660"/>
    <w:rsid w:val="007F5B06"/>
    <w:rsid w:val="00800FE2"/>
    <w:rsid w:val="00802391"/>
    <w:rsid w:val="00810075"/>
    <w:rsid w:val="008158A8"/>
    <w:rsid w:val="00816234"/>
    <w:rsid w:val="00821B71"/>
    <w:rsid w:val="00822024"/>
    <w:rsid w:val="00822BED"/>
    <w:rsid w:val="00830443"/>
    <w:rsid w:val="00831C0D"/>
    <w:rsid w:val="00834855"/>
    <w:rsid w:val="00837E90"/>
    <w:rsid w:val="0084223F"/>
    <w:rsid w:val="0084499D"/>
    <w:rsid w:val="008475E1"/>
    <w:rsid w:val="0085037F"/>
    <w:rsid w:val="00854EDA"/>
    <w:rsid w:val="00855443"/>
    <w:rsid w:val="00855A38"/>
    <w:rsid w:val="008574E1"/>
    <w:rsid w:val="00861656"/>
    <w:rsid w:val="008628CD"/>
    <w:rsid w:val="008674A3"/>
    <w:rsid w:val="00877F52"/>
    <w:rsid w:val="00880867"/>
    <w:rsid w:val="00880E30"/>
    <w:rsid w:val="0088543F"/>
    <w:rsid w:val="00885D8B"/>
    <w:rsid w:val="00893CF0"/>
    <w:rsid w:val="008A246C"/>
    <w:rsid w:val="008A2F0F"/>
    <w:rsid w:val="008A3DF2"/>
    <w:rsid w:val="008A597B"/>
    <w:rsid w:val="008A6644"/>
    <w:rsid w:val="008A6C9D"/>
    <w:rsid w:val="008A6E1F"/>
    <w:rsid w:val="008A7934"/>
    <w:rsid w:val="008B1A37"/>
    <w:rsid w:val="008C167F"/>
    <w:rsid w:val="008C43D8"/>
    <w:rsid w:val="008C5515"/>
    <w:rsid w:val="008D1259"/>
    <w:rsid w:val="008D26F8"/>
    <w:rsid w:val="008D68AF"/>
    <w:rsid w:val="008D751C"/>
    <w:rsid w:val="008E6E5C"/>
    <w:rsid w:val="008F0ED2"/>
    <w:rsid w:val="008F168D"/>
    <w:rsid w:val="008F1EAD"/>
    <w:rsid w:val="008F285A"/>
    <w:rsid w:val="008F4439"/>
    <w:rsid w:val="008F466B"/>
    <w:rsid w:val="008F5AFB"/>
    <w:rsid w:val="00900105"/>
    <w:rsid w:val="009012F0"/>
    <w:rsid w:val="009038B9"/>
    <w:rsid w:val="009056F7"/>
    <w:rsid w:val="00905913"/>
    <w:rsid w:val="009070A1"/>
    <w:rsid w:val="0091289D"/>
    <w:rsid w:val="00914776"/>
    <w:rsid w:val="00925CCD"/>
    <w:rsid w:val="00926EF4"/>
    <w:rsid w:val="00930179"/>
    <w:rsid w:val="00932E87"/>
    <w:rsid w:val="00940708"/>
    <w:rsid w:val="00941D9D"/>
    <w:rsid w:val="00947415"/>
    <w:rsid w:val="00947B8A"/>
    <w:rsid w:val="009516E4"/>
    <w:rsid w:val="00953ACB"/>
    <w:rsid w:val="00954658"/>
    <w:rsid w:val="00955783"/>
    <w:rsid w:val="00965D17"/>
    <w:rsid w:val="00966D56"/>
    <w:rsid w:val="00977556"/>
    <w:rsid w:val="00981F08"/>
    <w:rsid w:val="00987E88"/>
    <w:rsid w:val="009917A2"/>
    <w:rsid w:val="0099471D"/>
    <w:rsid w:val="00996FC3"/>
    <w:rsid w:val="009A2877"/>
    <w:rsid w:val="009A41FB"/>
    <w:rsid w:val="009A57B8"/>
    <w:rsid w:val="009A6677"/>
    <w:rsid w:val="009B13B4"/>
    <w:rsid w:val="009C0D4A"/>
    <w:rsid w:val="009C1547"/>
    <w:rsid w:val="009C2088"/>
    <w:rsid w:val="009C6167"/>
    <w:rsid w:val="009C7602"/>
    <w:rsid w:val="009C7EBB"/>
    <w:rsid w:val="009D0E3C"/>
    <w:rsid w:val="009D62E3"/>
    <w:rsid w:val="009E0503"/>
    <w:rsid w:val="009E1653"/>
    <w:rsid w:val="009E1CDE"/>
    <w:rsid w:val="009E1DD6"/>
    <w:rsid w:val="009E1FD9"/>
    <w:rsid w:val="009F5780"/>
    <w:rsid w:val="009F73E6"/>
    <w:rsid w:val="00A011D4"/>
    <w:rsid w:val="00A01BF5"/>
    <w:rsid w:val="00A1416C"/>
    <w:rsid w:val="00A16003"/>
    <w:rsid w:val="00A23176"/>
    <w:rsid w:val="00A26693"/>
    <w:rsid w:val="00A27A35"/>
    <w:rsid w:val="00A3375F"/>
    <w:rsid w:val="00A33C2E"/>
    <w:rsid w:val="00A34C7E"/>
    <w:rsid w:val="00A354B3"/>
    <w:rsid w:val="00A36928"/>
    <w:rsid w:val="00A40549"/>
    <w:rsid w:val="00A4203C"/>
    <w:rsid w:val="00A43A47"/>
    <w:rsid w:val="00A47B59"/>
    <w:rsid w:val="00A5208E"/>
    <w:rsid w:val="00A5641B"/>
    <w:rsid w:val="00A56E1A"/>
    <w:rsid w:val="00A575D0"/>
    <w:rsid w:val="00A622C0"/>
    <w:rsid w:val="00A63CD2"/>
    <w:rsid w:val="00A64253"/>
    <w:rsid w:val="00A64936"/>
    <w:rsid w:val="00A65970"/>
    <w:rsid w:val="00A65F29"/>
    <w:rsid w:val="00A71F43"/>
    <w:rsid w:val="00A757E9"/>
    <w:rsid w:val="00A77D41"/>
    <w:rsid w:val="00A85B7C"/>
    <w:rsid w:val="00AA1529"/>
    <w:rsid w:val="00AA1E9E"/>
    <w:rsid w:val="00AA2FFE"/>
    <w:rsid w:val="00AA5389"/>
    <w:rsid w:val="00AA54BB"/>
    <w:rsid w:val="00AA6B8E"/>
    <w:rsid w:val="00AA6E78"/>
    <w:rsid w:val="00AA7C71"/>
    <w:rsid w:val="00AB0339"/>
    <w:rsid w:val="00AB0861"/>
    <w:rsid w:val="00AB33E1"/>
    <w:rsid w:val="00AB368E"/>
    <w:rsid w:val="00AB6950"/>
    <w:rsid w:val="00AC00E3"/>
    <w:rsid w:val="00AC2E7A"/>
    <w:rsid w:val="00AC5D30"/>
    <w:rsid w:val="00AC6BFD"/>
    <w:rsid w:val="00AD1469"/>
    <w:rsid w:val="00AD266D"/>
    <w:rsid w:val="00AE2E06"/>
    <w:rsid w:val="00AE589F"/>
    <w:rsid w:val="00AE653B"/>
    <w:rsid w:val="00AE75B8"/>
    <w:rsid w:val="00AE7A84"/>
    <w:rsid w:val="00AE7CE0"/>
    <w:rsid w:val="00B03769"/>
    <w:rsid w:val="00B06210"/>
    <w:rsid w:val="00B116E3"/>
    <w:rsid w:val="00B158EA"/>
    <w:rsid w:val="00B16F9C"/>
    <w:rsid w:val="00B2226C"/>
    <w:rsid w:val="00B24395"/>
    <w:rsid w:val="00B25628"/>
    <w:rsid w:val="00B3133B"/>
    <w:rsid w:val="00B33AB5"/>
    <w:rsid w:val="00B33D91"/>
    <w:rsid w:val="00B37847"/>
    <w:rsid w:val="00B4390C"/>
    <w:rsid w:val="00B443DE"/>
    <w:rsid w:val="00B44D8C"/>
    <w:rsid w:val="00B60527"/>
    <w:rsid w:val="00B61205"/>
    <w:rsid w:val="00B62647"/>
    <w:rsid w:val="00B64D49"/>
    <w:rsid w:val="00B65F38"/>
    <w:rsid w:val="00B66FD4"/>
    <w:rsid w:val="00B66FE6"/>
    <w:rsid w:val="00B70190"/>
    <w:rsid w:val="00B74527"/>
    <w:rsid w:val="00B752CB"/>
    <w:rsid w:val="00B767E6"/>
    <w:rsid w:val="00B769A6"/>
    <w:rsid w:val="00B813C1"/>
    <w:rsid w:val="00B82181"/>
    <w:rsid w:val="00B87F6D"/>
    <w:rsid w:val="00BA09EE"/>
    <w:rsid w:val="00BA26C7"/>
    <w:rsid w:val="00BA4229"/>
    <w:rsid w:val="00BA6CF5"/>
    <w:rsid w:val="00BB0808"/>
    <w:rsid w:val="00BB1351"/>
    <w:rsid w:val="00BB1EAF"/>
    <w:rsid w:val="00BB49C5"/>
    <w:rsid w:val="00BB4CB1"/>
    <w:rsid w:val="00BC03D0"/>
    <w:rsid w:val="00BC0453"/>
    <w:rsid w:val="00BC176B"/>
    <w:rsid w:val="00BC3A4F"/>
    <w:rsid w:val="00BC6690"/>
    <w:rsid w:val="00BC7843"/>
    <w:rsid w:val="00BC7C83"/>
    <w:rsid w:val="00BD1C97"/>
    <w:rsid w:val="00BD4BEC"/>
    <w:rsid w:val="00BE1153"/>
    <w:rsid w:val="00BE11AF"/>
    <w:rsid w:val="00BE40E9"/>
    <w:rsid w:val="00BE67EA"/>
    <w:rsid w:val="00BF35B9"/>
    <w:rsid w:val="00BF471E"/>
    <w:rsid w:val="00BF5C19"/>
    <w:rsid w:val="00C017F5"/>
    <w:rsid w:val="00C0507D"/>
    <w:rsid w:val="00C10ACA"/>
    <w:rsid w:val="00C116F7"/>
    <w:rsid w:val="00C13DB3"/>
    <w:rsid w:val="00C21738"/>
    <w:rsid w:val="00C21882"/>
    <w:rsid w:val="00C22B23"/>
    <w:rsid w:val="00C24004"/>
    <w:rsid w:val="00C242C4"/>
    <w:rsid w:val="00C314E7"/>
    <w:rsid w:val="00C36845"/>
    <w:rsid w:val="00C4472B"/>
    <w:rsid w:val="00C449AC"/>
    <w:rsid w:val="00C476BD"/>
    <w:rsid w:val="00C50759"/>
    <w:rsid w:val="00C565F5"/>
    <w:rsid w:val="00C56FC0"/>
    <w:rsid w:val="00C571B2"/>
    <w:rsid w:val="00C607ED"/>
    <w:rsid w:val="00C6132B"/>
    <w:rsid w:val="00C63AFC"/>
    <w:rsid w:val="00C66525"/>
    <w:rsid w:val="00C67F86"/>
    <w:rsid w:val="00C70B08"/>
    <w:rsid w:val="00C734B5"/>
    <w:rsid w:val="00C747E3"/>
    <w:rsid w:val="00C762D8"/>
    <w:rsid w:val="00C76D06"/>
    <w:rsid w:val="00C77812"/>
    <w:rsid w:val="00C800CC"/>
    <w:rsid w:val="00C80AA9"/>
    <w:rsid w:val="00C83260"/>
    <w:rsid w:val="00C85D0D"/>
    <w:rsid w:val="00C90CF2"/>
    <w:rsid w:val="00C91AEF"/>
    <w:rsid w:val="00C96230"/>
    <w:rsid w:val="00C96CF5"/>
    <w:rsid w:val="00CA1EC3"/>
    <w:rsid w:val="00CB1230"/>
    <w:rsid w:val="00CB19C0"/>
    <w:rsid w:val="00CB3D01"/>
    <w:rsid w:val="00CC4FBC"/>
    <w:rsid w:val="00CC529E"/>
    <w:rsid w:val="00CD6801"/>
    <w:rsid w:val="00CD794A"/>
    <w:rsid w:val="00CE1D83"/>
    <w:rsid w:val="00CE2882"/>
    <w:rsid w:val="00CE6E2C"/>
    <w:rsid w:val="00CF7F23"/>
    <w:rsid w:val="00D132BF"/>
    <w:rsid w:val="00D13643"/>
    <w:rsid w:val="00D150D8"/>
    <w:rsid w:val="00D201B3"/>
    <w:rsid w:val="00D222A8"/>
    <w:rsid w:val="00D24341"/>
    <w:rsid w:val="00D26510"/>
    <w:rsid w:val="00D27841"/>
    <w:rsid w:val="00D368A6"/>
    <w:rsid w:val="00D379ED"/>
    <w:rsid w:val="00D44133"/>
    <w:rsid w:val="00D44621"/>
    <w:rsid w:val="00D521CE"/>
    <w:rsid w:val="00D527EA"/>
    <w:rsid w:val="00D53921"/>
    <w:rsid w:val="00D54EEE"/>
    <w:rsid w:val="00D57351"/>
    <w:rsid w:val="00D6016C"/>
    <w:rsid w:val="00D70E8A"/>
    <w:rsid w:val="00D72188"/>
    <w:rsid w:val="00D7241E"/>
    <w:rsid w:val="00D771D2"/>
    <w:rsid w:val="00D82031"/>
    <w:rsid w:val="00D8271F"/>
    <w:rsid w:val="00D86A4E"/>
    <w:rsid w:val="00D90E31"/>
    <w:rsid w:val="00D90E8B"/>
    <w:rsid w:val="00D91985"/>
    <w:rsid w:val="00D9372C"/>
    <w:rsid w:val="00D94073"/>
    <w:rsid w:val="00D94AD7"/>
    <w:rsid w:val="00DA3A9D"/>
    <w:rsid w:val="00DA50C9"/>
    <w:rsid w:val="00DB0998"/>
    <w:rsid w:val="00DB3469"/>
    <w:rsid w:val="00DC073E"/>
    <w:rsid w:val="00DC709D"/>
    <w:rsid w:val="00DD6094"/>
    <w:rsid w:val="00DD779D"/>
    <w:rsid w:val="00DE080B"/>
    <w:rsid w:val="00DE0BE0"/>
    <w:rsid w:val="00DE1184"/>
    <w:rsid w:val="00DE1312"/>
    <w:rsid w:val="00DE2C58"/>
    <w:rsid w:val="00DE3A47"/>
    <w:rsid w:val="00DE3D9F"/>
    <w:rsid w:val="00DE6689"/>
    <w:rsid w:val="00DF309F"/>
    <w:rsid w:val="00DF4115"/>
    <w:rsid w:val="00DF4733"/>
    <w:rsid w:val="00DF4AE3"/>
    <w:rsid w:val="00DF6389"/>
    <w:rsid w:val="00DF7A65"/>
    <w:rsid w:val="00E00F54"/>
    <w:rsid w:val="00E034A9"/>
    <w:rsid w:val="00E0574C"/>
    <w:rsid w:val="00E06522"/>
    <w:rsid w:val="00E06D5E"/>
    <w:rsid w:val="00E15499"/>
    <w:rsid w:val="00E178A9"/>
    <w:rsid w:val="00E23826"/>
    <w:rsid w:val="00E25DCF"/>
    <w:rsid w:val="00E30358"/>
    <w:rsid w:val="00E308E2"/>
    <w:rsid w:val="00E40104"/>
    <w:rsid w:val="00E41167"/>
    <w:rsid w:val="00E45B70"/>
    <w:rsid w:val="00E53F9C"/>
    <w:rsid w:val="00E571FB"/>
    <w:rsid w:val="00E60E26"/>
    <w:rsid w:val="00E648D8"/>
    <w:rsid w:val="00E743A0"/>
    <w:rsid w:val="00E760EE"/>
    <w:rsid w:val="00E76F0F"/>
    <w:rsid w:val="00E77164"/>
    <w:rsid w:val="00E801A8"/>
    <w:rsid w:val="00E809C2"/>
    <w:rsid w:val="00E81050"/>
    <w:rsid w:val="00E83CCE"/>
    <w:rsid w:val="00E84A1A"/>
    <w:rsid w:val="00E900E1"/>
    <w:rsid w:val="00E952B0"/>
    <w:rsid w:val="00E9688B"/>
    <w:rsid w:val="00E968F6"/>
    <w:rsid w:val="00E96F7C"/>
    <w:rsid w:val="00E975A2"/>
    <w:rsid w:val="00EA00A2"/>
    <w:rsid w:val="00EA669A"/>
    <w:rsid w:val="00EB14DB"/>
    <w:rsid w:val="00EB426A"/>
    <w:rsid w:val="00EB486F"/>
    <w:rsid w:val="00EB7565"/>
    <w:rsid w:val="00EC4005"/>
    <w:rsid w:val="00EC6F08"/>
    <w:rsid w:val="00EC7257"/>
    <w:rsid w:val="00ED1EDF"/>
    <w:rsid w:val="00ED6EAD"/>
    <w:rsid w:val="00EE0E0E"/>
    <w:rsid w:val="00EF012B"/>
    <w:rsid w:val="00EF0C4F"/>
    <w:rsid w:val="00EF144A"/>
    <w:rsid w:val="00EF2008"/>
    <w:rsid w:val="00EF23D0"/>
    <w:rsid w:val="00EF2EEC"/>
    <w:rsid w:val="00EF7199"/>
    <w:rsid w:val="00EF71B7"/>
    <w:rsid w:val="00EF76C6"/>
    <w:rsid w:val="00F042D7"/>
    <w:rsid w:val="00F104E4"/>
    <w:rsid w:val="00F10E7B"/>
    <w:rsid w:val="00F112E0"/>
    <w:rsid w:val="00F11831"/>
    <w:rsid w:val="00F133BA"/>
    <w:rsid w:val="00F144FF"/>
    <w:rsid w:val="00F14590"/>
    <w:rsid w:val="00F1521F"/>
    <w:rsid w:val="00F15E26"/>
    <w:rsid w:val="00F1753A"/>
    <w:rsid w:val="00F20372"/>
    <w:rsid w:val="00F22C9A"/>
    <w:rsid w:val="00F257D2"/>
    <w:rsid w:val="00F25848"/>
    <w:rsid w:val="00F3039B"/>
    <w:rsid w:val="00F31121"/>
    <w:rsid w:val="00F32FF5"/>
    <w:rsid w:val="00F34D63"/>
    <w:rsid w:val="00F412EE"/>
    <w:rsid w:val="00F4166A"/>
    <w:rsid w:val="00F452D5"/>
    <w:rsid w:val="00F52308"/>
    <w:rsid w:val="00F57489"/>
    <w:rsid w:val="00F57B18"/>
    <w:rsid w:val="00F61963"/>
    <w:rsid w:val="00F6475D"/>
    <w:rsid w:val="00F651FD"/>
    <w:rsid w:val="00F6717B"/>
    <w:rsid w:val="00F72C02"/>
    <w:rsid w:val="00F730EB"/>
    <w:rsid w:val="00F738C4"/>
    <w:rsid w:val="00F743E2"/>
    <w:rsid w:val="00F750F6"/>
    <w:rsid w:val="00F761D9"/>
    <w:rsid w:val="00F833EB"/>
    <w:rsid w:val="00F8678E"/>
    <w:rsid w:val="00F9101F"/>
    <w:rsid w:val="00F916C4"/>
    <w:rsid w:val="00F91F61"/>
    <w:rsid w:val="00F93207"/>
    <w:rsid w:val="00F94CEA"/>
    <w:rsid w:val="00F96211"/>
    <w:rsid w:val="00FA10DB"/>
    <w:rsid w:val="00FA3591"/>
    <w:rsid w:val="00FA46A5"/>
    <w:rsid w:val="00FA6D65"/>
    <w:rsid w:val="00FB1349"/>
    <w:rsid w:val="00FB1977"/>
    <w:rsid w:val="00FB2946"/>
    <w:rsid w:val="00FB7CBA"/>
    <w:rsid w:val="00FC1C66"/>
    <w:rsid w:val="00FC2550"/>
    <w:rsid w:val="00FC4027"/>
    <w:rsid w:val="00FC728E"/>
    <w:rsid w:val="00FD1397"/>
    <w:rsid w:val="00FD2153"/>
    <w:rsid w:val="00FD48EB"/>
    <w:rsid w:val="00FD678C"/>
    <w:rsid w:val="00FE36D0"/>
    <w:rsid w:val="00FE4080"/>
    <w:rsid w:val="00FE4622"/>
    <w:rsid w:val="00FE683B"/>
    <w:rsid w:val="00FF2DD9"/>
    <w:rsid w:val="00FF5EFF"/>
    <w:rsid w:val="00FF6D1B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F234B8"/>
  <w14:defaultImageDpi w14:val="0"/>
  <w15:docId w15:val="{1D1C3872-1638-4163-A863-0A463644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40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940708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940708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575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7575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75752"/>
    <w:rPr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575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75752"/>
    <w:rPr>
      <w:b/>
      <w:bCs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7575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75752"/>
    <w:rPr>
      <w:sz w:val="18"/>
      <w:szCs w:val="18"/>
    </w:rPr>
  </w:style>
  <w:style w:type="paragraph" w:styleId="ae">
    <w:name w:val="Revision"/>
    <w:hidden/>
    <w:uiPriority w:val="99"/>
    <w:semiHidden/>
    <w:rsid w:val="003C7C52"/>
    <w:rPr>
      <w:szCs w:val="22"/>
    </w:rPr>
  </w:style>
  <w:style w:type="paragraph" w:customStyle="1" w:styleId="736">
    <w:name w:val="736"/>
    <w:qFormat/>
    <w:rsid w:val="008A3DF2"/>
    <w:rPr>
      <w:rFonts w:ascii="宋体" w:eastAsia="宋体" w:hAnsi="宋体" w:cs="宋体"/>
      <w:kern w:val="0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274ED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54FB2-1D7D-4520-8F04-17A69569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1886</Words>
  <Characters>1981</Characters>
  <Application>Microsoft Office Word</Application>
  <DocSecurity>0</DocSecurity>
  <Lines>94</Lines>
  <Paragraphs>92</Paragraphs>
  <ScaleCrop>false</ScaleCrop>
  <Company>Microsoft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yx t</cp:lastModifiedBy>
  <cp:revision>20</cp:revision>
  <cp:lastPrinted>2024-08-27T04:18:00Z</cp:lastPrinted>
  <dcterms:created xsi:type="dcterms:W3CDTF">2026-05-06T06:35:00Z</dcterms:created>
  <dcterms:modified xsi:type="dcterms:W3CDTF">2026-05-06T08:44:00Z</dcterms:modified>
</cp:coreProperties>
</file>