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2AC" w:rsidRDefault="00E2031E">
      <w:pPr>
        <w:spacing w:afterLines="100" w:after="312" w:line="400" w:lineRule="exact"/>
        <w:rPr>
          <w:b/>
          <w:bCs/>
          <w:iCs/>
          <w:color w:val="000000"/>
          <w:sz w:val="32"/>
          <w:szCs w:val="32"/>
        </w:rPr>
      </w:pPr>
      <w:r>
        <w:rPr>
          <w:b/>
          <w:bCs/>
          <w:iCs/>
          <w:color w:val="000000"/>
          <w:sz w:val="24"/>
        </w:rPr>
        <w:t>证券代码：</w:t>
      </w:r>
      <w:r>
        <w:rPr>
          <w:b/>
          <w:bCs/>
          <w:iCs/>
          <w:color w:val="000000"/>
          <w:sz w:val="24"/>
        </w:rPr>
        <w:t xml:space="preserve">603169                               </w:t>
      </w:r>
      <w:r>
        <w:rPr>
          <w:rFonts w:hint="eastAsia"/>
          <w:b/>
          <w:bCs/>
          <w:iCs/>
          <w:color w:val="000000"/>
          <w:sz w:val="24"/>
        </w:rPr>
        <w:t xml:space="preserve">                                    </w:t>
      </w:r>
      <w:r>
        <w:rPr>
          <w:b/>
          <w:bCs/>
          <w:iCs/>
          <w:color w:val="000000"/>
          <w:sz w:val="24"/>
        </w:rPr>
        <w:t xml:space="preserve"> </w:t>
      </w:r>
      <w:r>
        <w:rPr>
          <w:b/>
          <w:bCs/>
          <w:iCs/>
          <w:color w:val="000000"/>
          <w:sz w:val="24"/>
        </w:rPr>
        <w:t>证券简称：兰石重装</w:t>
      </w:r>
    </w:p>
    <w:p w:rsidR="008702AC" w:rsidRDefault="00E2031E" w:rsidP="00A559DC">
      <w:pPr>
        <w:spacing w:afterLines="50" w:after="156" w:line="400" w:lineRule="exact"/>
        <w:jc w:val="center"/>
        <w:rPr>
          <w:b/>
          <w:bCs/>
          <w:iCs/>
          <w:color w:val="000000"/>
          <w:sz w:val="32"/>
          <w:szCs w:val="32"/>
        </w:rPr>
      </w:pPr>
      <w:r>
        <w:rPr>
          <w:b/>
          <w:bCs/>
          <w:iCs/>
          <w:color w:val="000000"/>
          <w:sz w:val="32"/>
          <w:szCs w:val="32"/>
        </w:rPr>
        <w:t>兰州兰石重型装备股份有限公司投资者关系活动记录表</w:t>
      </w:r>
    </w:p>
    <w:p w:rsidR="008702AC" w:rsidRDefault="00E2031E">
      <w:pPr>
        <w:spacing w:line="400" w:lineRule="exact"/>
        <w:rPr>
          <w:bCs/>
          <w:iCs/>
          <w:color w:val="000000"/>
          <w:sz w:val="24"/>
        </w:rPr>
      </w:pPr>
      <w:r>
        <w:rPr>
          <w:bCs/>
          <w:iCs/>
          <w:color w:val="000000"/>
          <w:sz w:val="24"/>
        </w:rPr>
        <w:t xml:space="preserve">                                                         202</w:t>
      </w:r>
      <w:r w:rsidR="00E261FD">
        <w:rPr>
          <w:rFonts w:hint="eastAsia"/>
          <w:bCs/>
          <w:iCs/>
          <w:color w:val="000000"/>
          <w:sz w:val="24"/>
        </w:rPr>
        <w:t>6</w:t>
      </w:r>
      <w:r>
        <w:rPr>
          <w:bCs/>
          <w:iCs/>
          <w:color w:val="000000"/>
          <w:sz w:val="24"/>
        </w:rPr>
        <w:t>年</w:t>
      </w:r>
      <w:r w:rsidR="00E261FD">
        <w:rPr>
          <w:rFonts w:hint="eastAsia"/>
          <w:bCs/>
          <w:iCs/>
          <w:color w:val="000000"/>
          <w:sz w:val="24"/>
        </w:rPr>
        <w:t>5</w:t>
      </w:r>
      <w:r>
        <w:rPr>
          <w:bCs/>
          <w:iCs/>
          <w:color w:val="000000"/>
          <w:sz w:val="24"/>
        </w:rPr>
        <w:t>月</w:t>
      </w:r>
      <w:r w:rsidR="00E261FD">
        <w:rPr>
          <w:rFonts w:hint="eastAsia"/>
          <w:bCs/>
          <w:iCs/>
          <w:color w:val="000000"/>
          <w:sz w:val="24"/>
        </w:rPr>
        <w:t>6</w:t>
      </w:r>
      <w:r>
        <w:rPr>
          <w:bCs/>
          <w:iCs/>
          <w:color w:val="000000"/>
          <w:sz w:val="24"/>
        </w:rPr>
        <w:t>日</w:t>
      </w:r>
    </w:p>
    <w:tbl>
      <w:tblPr>
        <w:tblW w:w="8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295"/>
      </w:tblGrid>
      <w:tr w:rsidR="008702AC" w:rsidTr="00113E68">
        <w:trPr>
          <w:jc w:val="center"/>
        </w:trPr>
        <w:tc>
          <w:tcPr>
            <w:tcW w:w="1701" w:type="dxa"/>
            <w:vAlign w:val="center"/>
          </w:tcPr>
          <w:p w:rsidR="008702AC" w:rsidRDefault="00E2031E">
            <w:pPr>
              <w:spacing w:line="360" w:lineRule="auto"/>
              <w:jc w:val="center"/>
              <w:rPr>
                <w:bCs/>
                <w:iCs/>
                <w:color w:val="000000"/>
                <w:sz w:val="24"/>
              </w:rPr>
            </w:pPr>
            <w:r>
              <w:rPr>
                <w:bCs/>
                <w:iCs/>
                <w:color w:val="000000"/>
                <w:sz w:val="24"/>
              </w:rPr>
              <w:t>投资者关系活动类别</w:t>
            </w:r>
          </w:p>
        </w:tc>
        <w:tc>
          <w:tcPr>
            <w:tcW w:w="7295" w:type="dxa"/>
          </w:tcPr>
          <w:p w:rsidR="008702AC" w:rsidRDefault="00E2031E">
            <w:pPr>
              <w:spacing w:line="360" w:lineRule="auto"/>
              <w:rPr>
                <w:rFonts w:ascii="宋体" w:hAnsi="宋体"/>
                <w:bCs/>
                <w:iCs/>
                <w:color w:val="000000"/>
                <w:sz w:val="22"/>
              </w:rPr>
            </w:pPr>
            <w:r>
              <w:rPr>
                <w:rFonts w:ascii="宋体" w:hAnsi="宋体" w:hint="eastAsia"/>
                <w:bCs/>
                <w:iCs/>
                <w:color w:val="000000"/>
                <w:sz w:val="22"/>
              </w:rPr>
              <w:t>□</w:t>
            </w:r>
            <w:r>
              <w:rPr>
                <w:rFonts w:ascii="宋体" w:hAnsi="宋体" w:hint="eastAsia"/>
                <w:sz w:val="22"/>
              </w:rPr>
              <w:t xml:space="preserve">特定对象调研        </w:t>
            </w:r>
            <w:r>
              <w:rPr>
                <w:rFonts w:ascii="宋体" w:hAnsi="宋体" w:hint="eastAsia"/>
                <w:bCs/>
                <w:iCs/>
                <w:color w:val="000000"/>
                <w:sz w:val="22"/>
              </w:rPr>
              <w:t>□</w:t>
            </w:r>
            <w:r>
              <w:rPr>
                <w:rFonts w:ascii="宋体" w:hAnsi="宋体" w:hint="eastAsia"/>
                <w:sz w:val="22"/>
              </w:rPr>
              <w:t>分析师会议</w:t>
            </w:r>
          </w:p>
          <w:p w:rsidR="008702AC" w:rsidRDefault="00E2031E">
            <w:pPr>
              <w:spacing w:line="360" w:lineRule="auto"/>
              <w:rPr>
                <w:rFonts w:ascii="宋体" w:hAnsi="宋体"/>
                <w:bCs/>
                <w:iCs/>
                <w:color w:val="000000"/>
                <w:sz w:val="22"/>
              </w:rPr>
            </w:pPr>
            <w:r>
              <w:rPr>
                <w:rFonts w:ascii="宋体" w:hAnsi="宋体" w:hint="eastAsia"/>
                <w:bCs/>
                <w:iCs/>
                <w:color w:val="000000"/>
                <w:sz w:val="22"/>
              </w:rPr>
              <w:t>□</w:t>
            </w:r>
            <w:r>
              <w:rPr>
                <w:rFonts w:ascii="宋体" w:hAnsi="宋体" w:hint="eastAsia"/>
                <w:sz w:val="22"/>
              </w:rPr>
              <w:t xml:space="preserve">媒体采访            </w:t>
            </w:r>
            <w:r>
              <w:rPr>
                <w:rFonts w:ascii="宋体" w:hAnsi="宋体" w:hint="eastAsia"/>
                <w:bCs/>
                <w:iCs/>
                <w:color w:val="000000"/>
                <w:sz w:val="22"/>
              </w:rPr>
              <w:t>■</w:t>
            </w:r>
            <w:r>
              <w:rPr>
                <w:rFonts w:ascii="宋体" w:hAnsi="宋体" w:hint="eastAsia"/>
                <w:sz w:val="22"/>
              </w:rPr>
              <w:t>业绩说明会</w:t>
            </w:r>
            <w:r w:rsidR="005E2311" w:rsidRPr="00E261FD">
              <w:rPr>
                <w:sz w:val="22"/>
              </w:rPr>
              <w:t>（</w:t>
            </w:r>
            <w:r w:rsidR="00E261FD" w:rsidRPr="00E261FD">
              <w:rPr>
                <w:sz w:val="22"/>
              </w:rPr>
              <w:t>2025</w:t>
            </w:r>
            <w:r w:rsidR="00E261FD" w:rsidRPr="00E261FD">
              <w:rPr>
                <w:sz w:val="22"/>
              </w:rPr>
              <w:t>年年度暨</w:t>
            </w:r>
            <w:r w:rsidR="00E261FD" w:rsidRPr="00E261FD">
              <w:rPr>
                <w:sz w:val="22"/>
              </w:rPr>
              <w:t>2026</w:t>
            </w:r>
            <w:r w:rsidR="00E261FD" w:rsidRPr="00E261FD">
              <w:rPr>
                <w:sz w:val="22"/>
              </w:rPr>
              <w:t>年一季度业绩说明会</w:t>
            </w:r>
            <w:r w:rsidR="005E2311" w:rsidRPr="00E261FD">
              <w:rPr>
                <w:sz w:val="22"/>
              </w:rPr>
              <w:t>）</w:t>
            </w:r>
          </w:p>
          <w:p w:rsidR="008702AC" w:rsidRDefault="00E2031E">
            <w:pPr>
              <w:spacing w:line="360" w:lineRule="auto"/>
              <w:rPr>
                <w:rFonts w:ascii="宋体" w:hAnsi="宋体"/>
                <w:bCs/>
                <w:iCs/>
                <w:color w:val="000000"/>
                <w:sz w:val="22"/>
              </w:rPr>
            </w:pPr>
            <w:r>
              <w:rPr>
                <w:rFonts w:ascii="宋体" w:hAnsi="宋体" w:hint="eastAsia"/>
                <w:bCs/>
                <w:iCs/>
                <w:color w:val="000000"/>
                <w:sz w:val="22"/>
              </w:rPr>
              <w:t>□</w:t>
            </w:r>
            <w:r>
              <w:rPr>
                <w:rFonts w:ascii="宋体" w:hAnsi="宋体" w:hint="eastAsia"/>
                <w:sz w:val="22"/>
              </w:rPr>
              <w:t xml:space="preserve">新闻发布会          </w:t>
            </w:r>
            <w:r>
              <w:rPr>
                <w:rFonts w:ascii="宋体" w:hAnsi="宋体" w:hint="eastAsia"/>
                <w:bCs/>
                <w:iCs/>
                <w:color w:val="000000"/>
                <w:sz w:val="22"/>
              </w:rPr>
              <w:t>□</w:t>
            </w:r>
            <w:r>
              <w:rPr>
                <w:rFonts w:ascii="宋体" w:hAnsi="宋体" w:hint="eastAsia"/>
                <w:sz w:val="22"/>
              </w:rPr>
              <w:t>路演活动</w:t>
            </w:r>
          </w:p>
          <w:p w:rsidR="008702AC" w:rsidRDefault="00E2031E">
            <w:pPr>
              <w:tabs>
                <w:tab w:val="left" w:pos="2580"/>
                <w:tab w:val="center" w:pos="3199"/>
              </w:tabs>
              <w:spacing w:line="360" w:lineRule="auto"/>
              <w:rPr>
                <w:rFonts w:ascii="宋体" w:hAnsi="宋体"/>
                <w:bCs/>
                <w:iCs/>
                <w:color w:val="000000"/>
                <w:sz w:val="22"/>
              </w:rPr>
            </w:pPr>
            <w:r>
              <w:rPr>
                <w:rFonts w:ascii="宋体" w:hAnsi="宋体" w:hint="eastAsia"/>
                <w:bCs/>
                <w:iCs/>
                <w:color w:val="000000"/>
                <w:sz w:val="22"/>
              </w:rPr>
              <w:t>□</w:t>
            </w:r>
            <w:r>
              <w:rPr>
                <w:rFonts w:ascii="宋体" w:hAnsi="宋体" w:hint="eastAsia"/>
                <w:sz w:val="22"/>
              </w:rPr>
              <w:t xml:space="preserve">现场参观            </w:t>
            </w:r>
            <w:r>
              <w:rPr>
                <w:rFonts w:ascii="宋体" w:hAnsi="宋体" w:hint="eastAsia"/>
                <w:bCs/>
                <w:iCs/>
                <w:color w:val="000000"/>
                <w:sz w:val="22"/>
              </w:rPr>
              <w:t>□</w:t>
            </w:r>
            <w:r>
              <w:rPr>
                <w:rFonts w:ascii="宋体" w:hAnsi="宋体" w:hint="eastAsia"/>
                <w:sz w:val="22"/>
              </w:rPr>
              <w:t>一对一沟通</w:t>
            </w:r>
          </w:p>
          <w:p w:rsidR="008702AC" w:rsidRDefault="00E2031E">
            <w:pPr>
              <w:tabs>
                <w:tab w:val="center" w:pos="3199"/>
              </w:tabs>
              <w:spacing w:line="360" w:lineRule="auto"/>
              <w:rPr>
                <w:bCs/>
                <w:iCs/>
                <w:color w:val="000000"/>
                <w:sz w:val="24"/>
              </w:rPr>
            </w:pPr>
            <w:r>
              <w:rPr>
                <w:rFonts w:ascii="宋体" w:hAnsi="宋体" w:hint="eastAsia"/>
                <w:bCs/>
                <w:iCs/>
                <w:color w:val="000000"/>
                <w:sz w:val="22"/>
              </w:rPr>
              <w:t>□</w:t>
            </w:r>
            <w:r>
              <w:rPr>
                <w:rFonts w:ascii="宋体" w:hAnsi="宋体" w:hint="eastAsia"/>
                <w:sz w:val="22"/>
              </w:rPr>
              <w:t>其他（</w:t>
            </w:r>
            <w:proofErr w:type="gramStart"/>
            <w:r>
              <w:rPr>
                <w:rFonts w:ascii="宋体" w:hAnsi="宋体" w:hint="eastAsia"/>
                <w:sz w:val="22"/>
              </w:rPr>
              <w:t>请文字</w:t>
            </w:r>
            <w:proofErr w:type="gramEnd"/>
            <w:r>
              <w:rPr>
                <w:rFonts w:ascii="宋体" w:hAnsi="宋体" w:hint="eastAsia"/>
                <w:sz w:val="22"/>
              </w:rPr>
              <w:t>说明其他活动内容）</w:t>
            </w:r>
          </w:p>
        </w:tc>
      </w:tr>
      <w:tr w:rsidR="008702AC" w:rsidTr="00113E68">
        <w:trPr>
          <w:trHeight w:val="794"/>
          <w:jc w:val="center"/>
        </w:trPr>
        <w:tc>
          <w:tcPr>
            <w:tcW w:w="1701" w:type="dxa"/>
            <w:vAlign w:val="center"/>
          </w:tcPr>
          <w:p w:rsidR="008702AC" w:rsidRDefault="00E2031E">
            <w:pPr>
              <w:jc w:val="center"/>
              <w:rPr>
                <w:bCs/>
                <w:iCs/>
                <w:color w:val="000000"/>
                <w:sz w:val="24"/>
              </w:rPr>
            </w:pPr>
            <w:r>
              <w:rPr>
                <w:bCs/>
                <w:iCs/>
                <w:color w:val="000000"/>
                <w:sz w:val="24"/>
              </w:rPr>
              <w:t>参与单位名称及人员姓名</w:t>
            </w:r>
          </w:p>
        </w:tc>
        <w:tc>
          <w:tcPr>
            <w:tcW w:w="7295" w:type="dxa"/>
            <w:vAlign w:val="center"/>
          </w:tcPr>
          <w:p w:rsidR="008702AC" w:rsidRDefault="00AE7953" w:rsidP="004045C3">
            <w:pPr>
              <w:jc w:val="left"/>
              <w:rPr>
                <w:bCs/>
                <w:iCs/>
                <w:color w:val="000000"/>
                <w:sz w:val="24"/>
              </w:rPr>
            </w:pPr>
            <w:r>
              <w:rPr>
                <w:rFonts w:hint="eastAsia"/>
                <w:bCs/>
                <w:iCs/>
                <w:color w:val="000000"/>
                <w:sz w:val="24"/>
              </w:rPr>
              <w:t>线上参与公司</w:t>
            </w:r>
            <w:r w:rsidR="00E261FD">
              <w:rPr>
                <w:rFonts w:hint="eastAsia"/>
                <w:bCs/>
                <w:iCs/>
                <w:color w:val="000000"/>
                <w:sz w:val="24"/>
              </w:rPr>
              <w:t>2025</w:t>
            </w:r>
            <w:r w:rsidR="00E261FD">
              <w:rPr>
                <w:rFonts w:hint="eastAsia"/>
                <w:bCs/>
                <w:iCs/>
                <w:color w:val="000000"/>
                <w:sz w:val="24"/>
              </w:rPr>
              <w:t>年年度暨</w:t>
            </w:r>
            <w:r w:rsidR="00E261FD">
              <w:rPr>
                <w:rFonts w:hint="eastAsia"/>
                <w:bCs/>
                <w:iCs/>
                <w:color w:val="000000"/>
                <w:sz w:val="24"/>
              </w:rPr>
              <w:t>2026</w:t>
            </w:r>
            <w:r w:rsidR="00E261FD">
              <w:rPr>
                <w:rFonts w:hint="eastAsia"/>
                <w:bCs/>
                <w:iCs/>
                <w:color w:val="000000"/>
                <w:sz w:val="24"/>
              </w:rPr>
              <w:t>年一季度业绩说明会</w:t>
            </w:r>
            <w:r>
              <w:rPr>
                <w:rFonts w:hint="eastAsia"/>
                <w:bCs/>
                <w:iCs/>
                <w:color w:val="000000"/>
                <w:sz w:val="24"/>
              </w:rPr>
              <w:t>的全体</w:t>
            </w:r>
            <w:r w:rsidR="005E2311">
              <w:rPr>
                <w:bCs/>
                <w:iCs/>
                <w:color w:val="000000"/>
                <w:sz w:val="24"/>
              </w:rPr>
              <w:t>投资者</w:t>
            </w:r>
            <w:bookmarkStart w:id="0" w:name="_GoBack"/>
            <w:bookmarkEnd w:id="0"/>
          </w:p>
        </w:tc>
      </w:tr>
      <w:tr w:rsidR="008702AC" w:rsidTr="00113E68">
        <w:trPr>
          <w:trHeight w:val="425"/>
          <w:jc w:val="center"/>
        </w:trPr>
        <w:tc>
          <w:tcPr>
            <w:tcW w:w="1701" w:type="dxa"/>
            <w:vAlign w:val="center"/>
          </w:tcPr>
          <w:p w:rsidR="008702AC" w:rsidRDefault="00E2031E">
            <w:pPr>
              <w:jc w:val="center"/>
              <w:rPr>
                <w:bCs/>
                <w:iCs/>
                <w:color w:val="000000"/>
                <w:sz w:val="24"/>
              </w:rPr>
            </w:pPr>
            <w:r>
              <w:rPr>
                <w:bCs/>
                <w:iCs/>
                <w:color w:val="000000"/>
                <w:sz w:val="24"/>
              </w:rPr>
              <w:t>时间</w:t>
            </w:r>
          </w:p>
        </w:tc>
        <w:tc>
          <w:tcPr>
            <w:tcW w:w="7295" w:type="dxa"/>
            <w:vAlign w:val="center"/>
          </w:tcPr>
          <w:p w:rsidR="008702AC" w:rsidRDefault="00E261FD" w:rsidP="00E261FD">
            <w:pPr>
              <w:jc w:val="left"/>
              <w:rPr>
                <w:bCs/>
                <w:iCs/>
                <w:color w:val="000000"/>
                <w:sz w:val="24"/>
              </w:rPr>
            </w:pPr>
            <w:r w:rsidRPr="00E261FD">
              <w:rPr>
                <w:rFonts w:hint="eastAsia"/>
                <w:bCs/>
                <w:iCs/>
                <w:color w:val="000000"/>
                <w:sz w:val="24"/>
              </w:rPr>
              <w:t>2026</w:t>
            </w:r>
            <w:r w:rsidRPr="00E261FD">
              <w:rPr>
                <w:rFonts w:hint="eastAsia"/>
                <w:bCs/>
                <w:iCs/>
                <w:color w:val="000000"/>
                <w:sz w:val="24"/>
              </w:rPr>
              <w:t>年</w:t>
            </w:r>
            <w:r w:rsidRPr="00E261FD">
              <w:rPr>
                <w:rFonts w:hint="eastAsia"/>
                <w:bCs/>
                <w:iCs/>
                <w:color w:val="000000"/>
                <w:sz w:val="24"/>
              </w:rPr>
              <w:t>5</w:t>
            </w:r>
            <w:r w:rsidRPr="00E261FD">
              <w:rPr>
                <w:rFonts w:hint="eastAsia"/>
                <w:bCs/>
                <w:iCs/>
                <w:color w:val="000000"/>
                <w:sz w:val="24"/>
              </w:rPr>
              <w:t>月</w:t>
            </w:r>
            <w:r w:rsidRPr="00E261FD">
              <w:rPr>
                <w:rFonts w:hint="eastAsia"/>
                <w:bCs/>
                <w:iCs/>
                <w:color w:val="000000"/>
                <w:sz w:val="24"/>
              </w:rPr>
              <w:t>6</w:t>
            </w:r>
            <w:r w:rsidRPr="00E261FD">
              <w:rPr>
                <w:rFonts w:hint="eastAsia"/>
                <w:bCs/>
                <w:iCs/>
                <w:color w:val="000000"/>
                <w:sz w:val="24"/>
              </w:rPr>
              <w:t>日</w:t>
            </w:r>
            <w:r w:rsidRPr="00E261FD">
              <w:rPr>
                <w:rFonts w:hint="eastAsia"/>
                <w:bCs/>
                <w:iCs/>
                <w:color w:val="000000"/>
                <w:sz w:val="24"/>
              </w:rPr>
              <w:t>14:00-15:00</w:t>
            </w:r>
          </w:p>
        </w:tc>
      </w:tr>
      <w:tr w:rsidR="008702AC" w:rsidTr="00113E68">
        <w:trPr>
          <w:trHeight w:val="403"/>
          <w:jc w:val="center"/>
        </w:trPr>
        <w:tc>
          <w:tcPr>
            <w:tcW w:w="1701" w:type="dxa"/>
            <w:vAlign w:val="center"/>
          </w:tcPr>
          <w:p w:rsidR="008702AC" w:rsidRDefault="00E2031E">
            <w:pPr>
              <w:jc w:val="center"/>
              <w:rPr>
                <w:bCs/>
                <w:iCs/>
                <w:color w:val="000000"/>
                <w:sz w:val="24"/>
              </w:rPr>
            </w:pPr>
            <w:r>
              <w:rPr>
                <w:bCs/>
                <w:iCs/>
                <w:color w:val="000000"/>
                <w:sz w:val="24"/>
              </w:rPr>
              <w:t>地点</w:t>
            </w:r>
          </w:p>
        </w:tc>
        <w:tc>
          <w:tcPr>
            <w:tcW w:w="7295" w:type="dxa"/>
            <w:vAlign w:val="center"/>
          </w:tcPr>
          <w:p w:rsidR="008702AC" w:rsidRDefault="005E2311" w:rsidP="005E2311">
            <w:pPr>
              <w:jc w:val="left"/>
              <w:rPr>
                <w:bCs/>
                <w:iCs/>
                <w:color w:val="000000"/>
                <w:sz w:val="24"/>
              </w:rPr>
            </w:pPr>
            <w:r w:rsidRPr="005E2311">
              <w:rPr>
                <w:rFonts w:hint="eastAsia"/>
                <w:bCs/>
                <w:iCs/>
                <w:color w:val="000000"/>
                <w:sz w:val="24"/>
              </w:rPr>
              <w:t>上海证券交易所“上证路演中心”（</w:t>
            </w:r>
            <w:r w:rsidRPr="005E2311">
              <w:rPr>
                <w:rFonts w:hint="eastAsia"/>
                <w:bCs/>
                <w:iCs/>
                <w:color w:val="000000"/>
                <w:sz w:val="24"/>
              </w:rPr>
              <w:t>http://roadshow.sseinfo.com/</w:t>
            </w:r>
            <w:r w:rsidRPr="005E2311">
              <w:rPr>
                <w:rFonts w:hint="eastAsia"/>
                <w:bCs/>
                <w:iCs/>
                <w:color w:val="000000"/>
                <w:sz w:val="24"/>
              </w:rPr>
              <w:t>）</w:t>
            </w:r>
          </w:p>
        </w:tc>
      </w:tr>
      <w:tr w:rsidR="008702AC" w:rsidTr="00113E68">
        <w:trPr>
          <w:trHeight w:val="727"/>
          <w:jc w:val="center"/>
        </w:trPr>
        <w:tc>
          <w:tcPr>
            <w:tcW w:w="1701" w:type="dxa"/>
            <w:vAlign w:val="center"/>
          </w:tcPr>
          <w:p w:rsidR="008702AC" w:rsidRDefault="00E2031E">
            <w:pPr>
              <w:snapToGrid w:val="0"/>
              <w:jc w:val="center"/>
              <w:rPr>
                <w:bCs/>
                <w:iCs/>
                <w:color w:val="000000"/>
                <w:sz w:val="24"/>
              </w:rPr>
            </w:pPr>
            <w:r>
              <w:rPr>
                <w:bCs/>
                <w:iCs/>
                <w:color w:val="000000"/>
                <w:sz w:val="24"/>
              </w:rPr>
              <w:t>上市公司</w:t>
            </w:r>
          </w:p>
          <w:p w:rsidR="008702AC" w:rsidRDefault="00E2031E">
            <w:pPr>
              <w:snapToGrid w:val="0"/>
              <w:jc w:val="center"/>
              <w:rPr>
                <w:bCs/>
                <w:iCs/>
                <w:color w:val="000000"/>
                <w:sz w:val="24"/>
              </w:rPr>
            </w:pPr>
            <w:r>
              <w:rPr>
                <w:bCs/>
                <w:iCs/>
                <w:color w:val="000000"/>
                <w:sz w:val="24"/>
              </w:rPr>
              <w:t>接待人员</w:t>
            </w:r>
          </w:p>
        </w:tc>
        <w:tc>
          <w:tcPr>
            <w:tcW w:w="7295" w:type="dxa"/>
            <w:vAlign w:val="center"/>
          </w:tcPr>
          <w:p w:rsidR="008702AC" w:rsidRDefault="00E2031E" w:rsidP="007C79F4">
            <w:pPr>
              <w:snapToGrid w:val="0"/>
              <w:jc w:val="left"/>
              <w:rPr>
                <w:bCs/>
                <w:iCs/>
                <w:color w:val="000000"/>
                <w:sz w:val="24"/>
              </w:rPr>
            </w:pPr>
            <w:r>
              <w:rPr>
                <w:rFonts w:hint="eastAsia"/>
                <w:bCs/>
                <w:iCs/>
                <w:color w:val="000000"/>
                <w:sz w:val="24"/>
              </w:rPr>
              <w:t>董事长郭富永、</w:t>
            </w:r>
            <w:r w:rsidR="007C79F4">
              <w:rPr>
                <w:rFonts w:hint="eastAsia"/>
                <w:bCs/>
                <w:iCs/>
                <w:color w:val="000000"/>
                <w:sz w:val="24"/>
              </w:rPr>
              <w:t>独立董事</w:t>
            </w:r>
            <w:r w:rsidR="004045C3">
              <w:rPr>
                <w:rFonts w:hint="eastAsia"/>
                <w:bCs/>
                <w:iCs/>
                <w:color w:val="000000"/>
                <w:sz w:val="24"/>
              </w:rPr>
              <w:t>马宁</w:t>
            </w:r>
            <w:r w:rsidR="007C79F4">
              <w:rPr>
                <w:rFonts w:hint="eastAsia"/>
                <w:bCs/>
                <w:iCs/>
                <w:color w:val="000000"/>
                <w:sz w:val="24"/>
              </w:rPr>
              <w:t>、财务总监</w:t>
            </w:r>
            <w:r>
              <w:rPr>
                <w:rFonts w:hint="eastAsia"/>
                <w:bCs/>
                <w:iCs/>
                <w:color w:val="000000"/>
                <w:sz w:val="24"/>
              </w:rPr>
              <w:t>卫桐言、董事会秘书武锐锐</w:t>
            </w:r>
          </w:p>
        </w:tc>
      </w:tr>
      <w:tr w:rsidR="008702AC" w:rsidTr="00113E68">
        <w:trPr>
          <w:jc w:val="center"/>
        </w:trPr>
        <w:tc>
          <w:tcPr>
            <w:tcW w:w="1701" w:type="dxa"/>
            <w:vAlign w:val="center"/>
          </w:tcPr>
          <w:p w:rsidR="008702AC" w:rsidRDefault="00E2031E">
            <w:pPr>
              <w:spacing w:line="360" w:lineRule="auto"/>
              <w:jc w:val="center"/>
              <w:rPr>
                <w:bCs/>
                <w:iCs/>
                <w:color w:val="000000"/>
                <w:sz w:val="24"/>
              </w:rPr>
            </w:pPr>
            <w:r>
              <w:rPr>
                <w:bCs/>
                <w:iCs/>
                <w:color w:val="000000"/>
                <w:sz w:val="24"/>
              </w:rPr>
              <w:t>投资者关系活动主要内容介绍</w:t>
            </w:r>
          </w:p>
        </w:tc>
        <w:tc>
          <w:tcPr>
            <w:tcW w:w="7295" w:type="dxa"/>
            <w:vAlign w:val="center"/>
          </w:tcPr>
          <w:p w:rsidR="00E261FD" w:rsidRPr="00E261FD" w:rsidRDefault="00E261FD" w:rsidP="00E261FD">
            <w:pPr>
              <w:adjustRightInd w:val="0"/>
              <w:snapToGrid w:val="0"/>
              <w:spacing w:line="360" w:lineRule="auto"/>
              <w:ind w:firstLineChars="200" w:firstLine="482"/>
              <w:rPr>
                <w:b/>
                <w:sz w:val="24"/>
              </w:rPr>
            </w:pPr>
            <w:r w:rsidRPr="00E261FD">
              <w:rPr>
                <w:rFonts w:hint="eastAsia"/>
                <w:b/>
                <w:sz w:val="24"/>
              </w:rPr>
              <w:t>问题</w:t>
            </w:r>
            <w:r w:rsidRPr="00E261FD">
              <w:rPr>
                <w:rFonts w:hint="eastAsia"/>
                <w:b/>
                <w:sz w:val="24"/>
              </w:rPr>
              <w:t>1</w:t>
            </w:r>
            <w:r w:rsidRPr="00E261FD">
              <w:rPr>
                <w:rFonts w:hint="eastAsia"/>
                <w:b/>
                <w:sz w:val="24"/>
              </w:rPr>
              <w:t>：针对此次监管处罚及资金占用问题，公司提出要全面补齐治理短板、夯实内控管理体系，具体将从哪些方面推进？有没有明确的整改时间节点和预期目标？</w:t>
            </w:r>
          </w:p>
          <w:p w:rsidR="00E261FD" w:rsidRPr="00E261FD" w:rsidRDefault="00685662" w:rsidP="00685662">
            <w:pPr>
              <w:adjustRightInd w:val="0"/>
              <w:snapToGrid w:val="0"/>
              <w:spacing w:line="360" w:lineRule="auto"/>
              <w:ind w:firstLineChars="200" w:firstLine="480"/>
              <w:rPr>
                <w:b/>
                <w:sz w:val="24"/>
              </w:rPr>
            </w:pPr>
            <w:r w:rsidRPr="00685662">
              <w:rPr>
                <w:rFonts w:hint="eastAsia"/>
                <w:sz w:val="24"/>
              </w:rPr>
              <w:t>投资者您好，控股股东前期已主动足额归还全部非经营性占用资金，公司前期已经开展了自查整改工作，杜绝此类问题再次发生。后续公司将从修订相关制度、完善内控体系、强化独立性保障、严肃内部追责、加强合</w:t>
            </w:r>
            <w:proofErr w:type="gramStart"/>
            <w:r w:rsidRPr="00685662">
              <w:rPr>
                <w:rFonts w:hint="eastAsia"/>
                <w:sz w:val="24"/>
              </w:rPr>
              <w:t>规</w:t>
            </w:r>
            <w:proofErr w:type="gramEnd"/>
            <w:r w:rsidRPr="00685662">
              <w:rPr>
                <w:rFonts w:hint="eastAsia"/>
                <w:sz w:val="24"/>
              </w:rPr>
              <w:t>培训、建立长效机制等方面持续开展整改工作，通过全方位整改夯实公司高质量发展根基。</w:t>
            </w:r>
          </w:p>
          <w:p w:rsidR="00E261FD" w:rsidRPr="00E261FD" w:rsidRDefault="00E261FD" w:rsidP="00E261FD">
            <w:pPr>
              <w:adjustRightInd w:val="0"/>
              <w:snapToGrid w:val="0"/>
              <w:spacing w:line="360" w:lineRule="auto"/>
              <w:ind w:firstLineChars="200" w:firstLine="482"/>
              <w:rPr>
                <w:b/>
                <w:sz w:val="24"/>
              </w:rPr>
            </w:pPr>
            <w:r w:rsidRPr="00E261FD">
              <w:rPr>
                <w:rFonts w:hint="eastAsia"/>
                <w:b/>
                <w:sz w:val="24"/>
              </w:rPr>
              <w:t>问题</w:t>
            </w:r>
            <w:r w:rsidRPr="00E261FD">
              <w:rPr>
                <w:rFonts w:hint="eastAsia"/>
                <w:b/>
                <w:sz w:val="24"/>
              </w:rPr>
              <w:t>2</w:t>
            </w:r>
            <w:r w:rsidRPr="00E261FD">
              <w:rPr>
                <w:rFonts w:hint="eastAsia"/>
                <w:b/>
                <w:sz w:val="24"/>
              </w:rPr>
              <w:t>：</w:t>
            </w:r>
            <w:r w:rsidRPr="00E261FD">
              <w:rPr>
                <w:rFonts w:hint="eastAsia"/>
                <w:b/>
                <w:sz w:val="24"/>
              </w:rPr>
              <w:t>2026</w:t>
            </w:r>
            <w:r w:rsidRPr="00E261FD">
              <w:rPr>
                <w:rFonts w:hint="eastAsia"/>
                <w:b/>
                <w:sz w:val="24"/>
              </w:rPr>
              <w:t>年一季度，公司营收同比下滑</w:t>
            </w:r>
            <w:r w:rsidRPr="00E261FD">
              <w:rPr>
                <w:rFonts w:hint="eastAsia"/>
                <w:b/>
                <w:sz w:val="24"/>
              </w:rPr>
              <w:t>15.76%</w:t>
            </w:r>
            <w:r w:rsidRPr="00E261FD">
              <w:rPr>
                <w:rFonts w:hint="eastAsia"/>
                <w:b/>
                <w:sz w:val="24"/>
              </w:rPr>
              <w:t>，盈利仍延续亏损态势，仅</w:t>
            </w:r>
            <w:proofErr w:type="gramStart"/>
            <w:r w:rsidRPr="00E261FD">
              <w:rPr>
                <w:rFonts w:hint="eastAsia"/>
                <w:b/>
                <w:sz w:val="24"/>
              </w:rPr>
              <w:t>扣非归母净</w:t>
            </w:r>
            <w:proofErr w:type="gramEnd"/>
            <w:r w:rsidRPr="00E261FD">
              <w:rPr>
                <w:rFonts w:hint="eastAsia"/>
                <w:b/>
                <w:sz w:val="24"/>
              </w:rPr>
              <w:t>利润同比微增</w:t>
            </w:r>
            <w:r w:rsidRPr="00E261FD">
              <w:rPr>
                <w:rFonts w:hint="eastAsia"/>
                <w:b/>
                <w:sz w:val="24"/>
              </w:rPr>
              <w:t>0.36%</w:t>
            </w:r>
            <w:r w:rsidRPr="00E261FD">
              <w:rPr>
                <w:rFonts w:hint="eastAsia"/>
                <w:b/>
                <w:sz w:val="24"/>
              </w:rPr>
              <w:t>。结合</w:t>
            </w:r>
            <w:r w:rsidRPr="00E261FD">
              <w:rPr>
                <w:rFonts w:hint="eastAsia"/>
                <w:b/>
                <w:sz w:val="24"/>
              </w:rPr>
              <w:t>2026</w:t>
            </w:r>
            <w:r w:rsidRPr="00E261FD">
              <w:rPr>
                <w:rFonts w:hint="eastAsia"/>
                <w:b/>
                <w:sz w:val="24"/>
              </w:rPr>
              <w:t>年公司工作部署，针对业绩亏损问题，将采取哪些具体的改善措施？</w:t>
            </w:r>
          </w:p>
          <w:p w:rsidR="00E261FD" w:rsidRPr="00E261FD" w:rsidRDefault="00685662" w:rsidP="00685662">
            <w:pPr>
              <w:adjustRightInd w:val="0"/>
              <w:snapToGrid w:val="0"/>
              <w:spacing w:line="360" w:lineRule="auto"/>
              <w:ind w:firstLineChars="200" w:firstLine="480"/>
              <w:rPr>
                <w:b/>
                <w:sz w:val="24"/>
              </w:rPr>
            </w:pPr>
            <w:r w:rsidRPr="00685662">
              <w:rPr>
                <w:rFonts w:hint="eastAsia"/>
                <w:sz w:val="24"/>
              </w:rPr>
              <w:t>投资者您好，从全年看，公司将锚定能源化工行业发展趋势市场需求的变化，加强传统优势产品销售，积极开拓核能、氢能、储能等新能源装备市场，持续开展转型升级，加强新领域新产品的研发，优化产品结构，同时加强成本管控，开源节流，提升利润水平。</w:t>
            </w:r>
          </w:p>
          <w:p w:rsidR="00E261FD" w:rsidRPr="00E261FD" w:rsidRDefault="00E261FD" w:rsidP="00E261FD">
            <w:pPr>
              <w:adjustRightInd w:val="0"/>
              <w:snapToGrid w:val="0"/>
              <w:spacing w:line="360" w:lineRule="auto"/>
              <w:ind w:firstLineChars="200" w:firstLine="482"/>
              <w:rPr>
                <w:b/>
                <w:sz w:val="24"/>
              </w:rPr>
            </w:pPr>
            <w:r w:rsidRPr="00E261FD">
              <w:rPr>
                <w:rFonts w:hint="eastAsia"/>
                <w:b/>
                <w:sz w:val="24"/>
              </w:rPr>
              <w:lastRenderedPageBreak/>
              <w:t>问题</w:t>
            </w:r>
            <w:r w:rsidRPr="00E261FD">
              <w:rPr>
                <w:rFonts w:hint="eastAsia"/>
                <w:b/>
                <w:sz w:val="24"/>
              </w:rPr>
              <w:t>3</w:t>
            </w:r>
            <w:r w:rsidRPr="00E261FD">
              <w:rPr>
                <w:rFonts w:hint="eastAsia"/>
                <w:b/>
                <w:sz w:val="24"/>
              </w:rPr>
              <w:t>：公司明确未来将聚焦核心主业、深耕主营业务布局。对于非核心业务是否有优化或剥离计划？</w:t>
            </w:r>
          </w:p>
          <w:p w:rsidR="00E261FD" w:rsidRPr="00E261FD" w:rsidRDefault="00685662" w:rsidP="00685662">
            <w:pPr>
              <w:adjustRightInd w:val="0"/>
              <w:snapToGrid w:val="0"/>
              <w:spacing w:line="360" w:lineRule="auto"/>
              <w:ind w:firstLineChars="200" w:firstLine="480"/>
              <w:rPr>
                <w:b/>
                <w:sz w:val="24"/>
              </w:rPr>
            </w:pPr>
            <w:r w:rsidRPr="00685662">
              <w:rPr>
                <w:rFonts w:hint="eastAsia"/>
                <w:sz w:val="24"/>
              </w:rPr>
              <w:t>投资者您好，公司未来将在巩固传统优势产业的同时，提升“核能、氢能、储能”等新能源装备，超临界二氧化碳发电、</w:t>
            </w:r>
            <w:r w:rsidRPr="00685662">
              <w:rPr>
                <w:rFonts w:hint="eastAsia"/>
                <w:sz w:val="24"/>
              </w:rPr>
              <w:t>CCUS</w:t>
            </w:r>
            <w:proofErr w:type="gramStart"/>
            <w:r w:rsidRPr="00685662">
              <w:rPr>
                <w:rFonts w:hint="eastAsia"/>
                <w:sz w:val="24"/>
              </w:rPr>
              <w:t>节能降碳装备</w:t>
            </w:r>
            <w:proofErr w:type="gramEnd"/>
            <w:r w:rsidRPr="00685662">
              <w:rPr>
                <w:rFonts w:hint="eastAsia"/>
                <w:sz w:val="24"/>
              </w:rPr>
              <w:t>、工业母机和高端金属新材料等战略性新兴产业的占比。</w:t>
            </w:r>
          </w:p>
          <w:p w:rsidR="00E261FD" w:rsidRPr="00E261FD" w:rsidRDefault="00E261FD" w:rsidP="00E261FD">
            <w:pPr>
              <w:adjustRightInd w:val="0"/>
              <w:snapToGrid w:val="0"/>
              <w:spacing w:line="360" w:lineRule="auto"/>
              <w:ind w:firstLineChars="200" w:firstLine="482"/>
              <w:rPr>
                <w:b/>
                <w:sz w:val="24"/>
              </w:rPr>
            </w:pPr>
            <w:r w:rsidRPr="00E261FD">
              <w:rPr>
                <w:rFonts w:hint="eastAsia"/>
                <w:b/>
                <w:sz w:val="24"/>
              </w:rPr>
              <w:t>问题</w:t>
            </w:r>
            <w:r w:rsidRPr="00E261FD">
              <w:rPr>
                <w:rFonts w:hint="eastAsia"/>
                <w:b/>
                <w:sz w:val="24"/>
              </w:rPr>
              <w:t>4</w:t>
            </w:r>
            <w:r w:rsidRPr="00E261FD">
              <w:rPr>
                <w:rFonts w:hint="eastAsia"/>
                <w:b/>
                <w:sz w:val="24"/>
              </w:rPr>
              <w:t>：麻烦请问公司未来的分红计划和派息政策？</w:t>
            </w:r>
          </w:p>
          <w:p w:rsidR="00E261FD" w:rsidRPr="00E261FD" w:rsidRDefault="00E261FD" w:rsidP="008663F4">
            <w:pPr>
              <w:adjustRightInd w:val="0"/>
              <w:snapToGrid w:val="0"/>
              <w:spacing w:line="360" w:lineRule="auto"/>
              <w:ind w:firstLineChars="200" w:firstLine="480"/>
              <w:rPr>
                <w:sz w:val="24"/>
              </w:rPr>
            </w:pPr>
            <w:r w:rsidRPr="00E261FD">
              <w:rPr>
                <w:rFonts w:hint="eastAsia"/>
                <w:sz w:val="24"/>
              </w:rPr>
              <w:t>投资者您好，受前期亏损影响，公司目前尚不具备分红条件，未来公司将进一步强科技、优布局、拓增量、抓改革、精管理、提效益，多</w:t>
            </w:r>
            <w:proofErr w:type="gramStart"/>
            <w:r w:rsidRPr="00E261FD">
              <w:rPr>
                <w:rFonts w:hint="eastAsia"/>
                <w:sz w:val="24"/>
              </w:rPr>
              <w:t>措</w:t>
            </w:r>
            <w:proofErr w:type="gramEnd"/>
            <w:r w:rsidRPr="00E261FD">
              <w:rPr>
                <w:rFonts w:hint="eastAsia"/>
                <w:sz w:val="24"/>
              </w:rPr>
              <w:t>并举提升盈利能力，待具备公司章程规定的分红条件启动实施。</w:t>
            </w:r>
          </w:p>
          <w:p w:rsidR="00E261FD" w:rsidRPr="00E261FD" w:rsidRDefault="00E261FD" w:rsidP="00E261FD">
            <w:pPr>
              <w:adjustRightInd w:val="0"/>
              <w:snapToGrid w:val="0"/>
              <w:spacing w:line="360" w:lineRule="auto"/>
              <w:ind w:firstLineChars="200" w:firstLine="482"/>
              <w:rPr>
                <w:b/>
                <w:sz w:val="24"/>
              </w:rPr>
            </w:pPr>
            <w:r w:rsidRPr="00E261FD">
              <w:rPr>
                <w:rFonts w:hint="eastAsia"/>
                <w:b/>
                <w:sz w:val="24"/>
              </w:rPr>
              <w:t>问题</w:t>
            </w:r>
            <w:r w:rsidRPr="00E261FD">
              <w:rPr>
                <w:rFonts w:hint="eastAsia"/>
                <w:b/>
                <w:sz w:val="24"/>
              </w:rPr>
              <w:t>5</w:t>
            </w:r>
            <w:r w:rsidRPr="00E261FD">
              <w:rPr>
                <w:rFonts w:hint="eastAsia"/>
                <w:b/>
                <w:sz w:val="24"/>
              </w:rPr>
              <w:t>：您好，我注意到贵公司所在行业已有部分上市公司通过视频直播召开业绩说明会，并在会后提供视频回放，以提升信息获取的便利性与透明度。然而，贵公司</w:t>
            </w:r>
            <w:r w:rsidRPr="00E261FD">
              <w:rPr>
                <w:rFonts w:hint="eastAsia"/>
                <w:b/>
                <w:sz w:val="24"/>
              </w:rPr>
              <w:t>2024</w:t>
            </w:r>
            <w:r w:rsidRPr="00E261FD">
              <w:rPr>
                <w:rFonts w:hint="eastAsia"/>
                <w:b/>
                <w:sz w:val="24"/>
              </w:rPr>
              <w:t>年及本次均未提供相关回放。在行业沟通方式逐步向数字化与可视化转型的背景下，请问贵公司在</w:t>
            </w:r>
            <w:r w:rsidRPr="00E261FD">
              <w:rPr>
                <w:rFonts w:hint="eastAsia"/>
                <w:b/>
                <w:sz w:val="24"/>
              </w:rPr>
              <w:t>2025</w:t>
            </w:r>
            <w:r w:rsidRPr="00E261FD">
              <w:rPr>
                <w:rFonts w:hint="eastAsia"/>
                <w:b/>
                <w:sz w:val="24"/>
              </w:rPr>
              <w:t>年的业绩说明会中，是否考虑引入视频直播并提供会后回放，以提升信息披露质量与投资者沟通效果？感谢您的解答。</w:t>
            </w:r>
          </w:p>
          <w:p w:rsidR="00E261FD" w:rsidRPr="00E261FD" w:rsidRDefault="00685662" w:rsidP="00685662">
            <w:pPr>
              <w:adjustRightInd w:val="0"/>
              <w:snapToGrid w:val="0"/>
              <w:spacing w:line="360" w:lineRule="auto"/>
              <w:ind w:firstLineChars="200" w:firstLine="480"/>
              <w:rPr>
                <w:b/>
                <w:sz w:val="24"/>
              </w:rPr>
            </w:pPr>
            <w:r w:rsidRPr="00685662">
              <w:rPr>
                <w:rFonts w:hint="eastAsia"/>
                <w:sz w:val="24"/>
              </w:rPr>
              <w:t>投资者您好，非常感谢您对公司投资者关系管理工作的关心与宝贵建议。公司高度重视与广大投资者的沟通交流，未来我们将积极探索并丰富沟通渠道，持续提升信息传递的透明度与及时性，努力为投资者提供更优质的沟通体验。再次感谢您的关注与支持！</w:t>
            </w:r>
          </w:p>
          <w:p w:rsidR="00E261FD" w:rsidRPr="00E261FD" w:rsidRDefault="00E261FD" w:rsidP="00E261FD">
            <w:pPr>
              <w:adjustRightInd w:val="0"/>
              <w:snapToGrid w:val="0"/>
              <w:spacing w:line="360" w:lineRule="auto"/>
              <w:ind w:firstLineChars="200" w:firstLine="482"/>
              <w:rPr>
                <w:b/>
                <w:sz w:val="24"/>
              </w:rPr>
            </w:pPr>
            <w:r w:rsidRPr="00E261FD">
              <w:rPr>
                <w:rFonts w:hint="eastAsia"/>
                <w:b/>
                <w:sz w:val="24"/>
              </w:rPr>
              <w:t>问题</w:t>
            </w:r>
            <w:r w:rsidRPr="00E261FD">
              <w:rPr>
                <w:rFonts w:hint="eastAsia"/>
                <w:b/>
                <w:sz w:val="24"/>
              </w:rPr>
              <w:t>6</w:t>
            </w:r>
            <w:r w:rsidRPr="00E261FD">
              <w:rPr>
                <w:rFonts w:hint="eastAsia"/>
                <w:b/>
                <w:sz w:val="24"/>
              </w:rPr>
              <w:t>：郭总，</w:t>
            </w:r>
            <w:r w:rsidR="00685662">
              <w:rPr>
                <w:rFonts w:hint="eastAsia"/>
                <w:b/>
                <w:sz w:val="24"/>
              </w:rPr>
              <w:t>2025</w:t>
            </w:r>
            <w:r w:rsidRPr="00E261FD">
              <w:rPr>
                <w:rFonts w:hint="eastAsia"/>
                <w:b/>
                <w:sz w:val="24"/>
              </w:rPr>
              <w:t>年公司营</w:t>
            </w:r>
            <w:proofErr w:type="gramStart"/>
            <w:r w:rsidRPr="00E261FD">
              <w:rPr>
                <w:rFonts w:hint="eastAsia"/>
                <w:b/>
                <w:sz w:val="24"/>
              </w:rPr>
              <w:t>收增长</w:t>
            </w:r>
            <w:proofErr w:type="gramEnd"/>
            <w:r w:rsidR="00685662">
              <w:rPr>
                <w:rFonts w:hint="eastAsia"/>
                <w:b/>
                <w:sz w:val="24"/>
              </w:rPr>
              <w:t>12%</w:t>
            </w:r>
            <w:r w:rsidRPr="00E261FD">
              <w:rPr>
                <w:rFonts w:hint="eastAsia"/>
                <w:b/>
                <w:sz w:val="24"/>
              </w:rPr>
              <w:t>至</w:t>
            </w:r>
            <w:r w:rsidR="00685662">
              <w:rPr>
                <w:rFonts w:hint="eastAsia"/>
                <w:b/>
                <w:sz w:val="24"/>
              </w:rPr>
              <w:t>64.86</w:t>
            </w:r>
            <w:r w:rsidRPr="00E261FD">
              <w:rPr>
                <w:rFonts w:hint="eastAsia"/>
                <w:b/>
                <w:sz w:val="24"/>
              </w:rPr>
              <w:t>亿元创历史新高，但</w:t>
            </w:r>
            <w:proofErr w:type="gramStart"/>
            <w:r w:rsidRPr="00E261FD">
              <w:rPr>
                <w:rFonts w:hint="eastAsia"/>
                <w:b/>
                <w:sz w:val="24"/>
              </w:rPr>
              <w:t>归母净利润</w:t>
            </w:r>
            <w:proofErr w:type="gramEnd"/>
            <w:r w:rsidRPr="00E261FD">
              <w:rPr>
                <w:rFonts w:hint="eastAsia"/>
                <w:b/>
                <w:sz w:val="24"/>
              </w:rPr>
              <w:t>却从盈利</w:t>
            </w:r>
            <w:r w:rsidR="00685662">
              <w:rPr>
                <w:rFonts w:hint="eastAsia"/>
                <w:b/>
                <w:sz w:val="24"/>
              </w:rPr>
              <w:t>1.55</w:t>
            </w:r>
            <w:r w:rsidRPr="00E261FD">
              <w:rPr>
                <w:rFonts w:hint="eastAsia"/>
                <w:b/>
                <w:sz w:val="24"/>
              </w:rPr>
              <w:t>亿元</w:t>
            </w:r>
            <w:proofErr w:type="gramStart"/>
            <w:r w:rsidRPr="00E261FD">
              <w:rPr>
                <w:rFonts w:hint="eastAsia"/>
                <w:b/>
                <w:sz w:val="24"/>
              </w:rPr>
              <w:t>转为巨亏</w:t>
            </w:r>
            <w:proofErr w:type="gramEnd"/>
            <w:r w:rsidR="00685662">
              <w:rPr>
                <w:rFonts w:hint="eastAsia"/>
                <w:b/>
                <w:sz w:val="24"/>
              </w:rPr>
              <w:t>5.96</w:t>
            </w:r>
            <w:r w:rsidRPr="00E261FD">
              <w:rPr>
                <w:rFonts w:hint="eastAsia"/>
                <w:b/>
                <w:sz w:val="24"/>
              </w:rPr>
              <w:t>亿元，同比下降</w:t>
            </w:r>
            <w:r w:rsidRPr="00E261FD">
              <w:rPr>
                <w:rFonts w:hint="eastAsia"/>
                <w:b/>
                <w:sz w:val="24"/>
              </w:rPr>
              <w:t>481.68%</w:t>
            </w:r>
            <w:r w:rsidRPr="00E261FD">
              <w:rPr>
                <w:rFonts w:hint="eastAsia"/>
                <w:b/>
                <w:sz w:val="24"/>
              </w:rPr>
              <w:t>，毛利率从</w:t>
            </w:r>
            <w:r w:rsidR="00685662">
              <w:rPr>
                <w:rFonts w:hint="eastAsia"/>
                <w:b/>
                <w:sz w:val="24"/>
              </w:rPr>
              <w:t>14.86%</w:t>
            </w:r>
            <w:r w:rsidRPr="00E261FD">
              <w:rPr>
                <w:rFonts w:hint="eastAsia"/>
                <w:b/>
                <w:sz w:val="24"/>
              </w:rPr>
              <w:t>骤降至</w:t>
            </w:r>
            <w:r w:rsidRPr="00E261FD">
              <w:rPr>
                <w:rFonts w:hint="eastAsia"/>
                <w:b/>
                <w:sz w:val="24"/>
              </w:rPr>
              <w:t>7.58%</w:t>
            </w:r>
            <w:r w:rsidRPr="00E261FD">
              <w:rPr>
                <w:rFonts w:hint="eastAsia"/>
                <w:b/>
                <w:sz w:val="24"/>
              </w:rPr>
              <w:t>。请问：①导致毛利率大幅下滑</w:t>
            </w:r>
            <w:r w:rsidR="00685662">
              <w:rPr>
                <w:rFonts w:hint="eastAsia"/>
                <w:b/>
                <w:sz w:val="24"/>
              </w:rPr>
              <w:t>7.28</w:t>
            </w:r>
            <w:r w:rsidRPr="00E261FD">
              <w:rPr>
                <w:rFonts w:hint="eastAsia"/>
                <w:b/>
                <w:sz w:val="24"/>
              </w:rPr>
              <w:t>个百分点的核心原因（如原材料成本、产品结构、定价策略变化）；②管理层认为当前盈利能力是否已触底，后续改善盈利的核心举措与时间节点。</w:t>
            </w:r>
          </w:p>
          <w:p w:rsidR="008702AC" w:rsidRPr="007C79F4" w:rsidRDefault="00E261FD" w:rsidP="008663F4">
            <w:pPr>
              <w:adjustRightInd w:val="0"/>
              <w:snapToGrid w:val="0"/>
              <w:spacing w:line="360" w:lineRule="auto"/>
              <w:ind w:firstLineChars="200" w:firstLine="480"/>
              <w:rPr>
                <w:sz w:val="24"/>
              </w:rPr>
            </w:pPr>
            <w:r w:rsidRPr="00E261FD">
              <w:rPr>
                <w:rFonts w:hint="eastAsia"/>
                <w:sz w:val="24"/>
              </w:rPr>
              <w:t>投资者您好，</w:t>
            </w:r>
            <w:r w:rsidRPr="00E261FD">
              <w:rPr>
                <w:rFonts w:hint="eastAsia"/>
                <w:sz w:val="24"/>
              </w:rPr>
              <w:t>2025</w:t>
            </w:r>
            <w:r w:rsidRPr="00E261FD">
              <w:rPr>
                <w:rFonts w:hint="eastAsia"/>
                <w:sz w:val="24"/>
              </w:rPr>
              <w:t>年导致毛利率大幅下滑的主要原因为收入结构的变化，其中工程总包类收入占比大幅上升，产品类收入占比呈现下降趋势；未来公司将锚定能源化工行业发展趋势市场需求的变</w:t>
            </w:r>
            <w:r w:rsidRPr="00E261FD">
              <w:rPr>
                <w:rFonts w:hint="eastAsia"/>
                <w:sz w:val="24"/>
              </w:rPr>
              <w:lastRenderedPageBreak/>
              <w:t>化，加强传统优势产品销售，积极开拓核能、氢能、储能等新能源装备市场，持续开展转型升级，加强新领域新产品的研发，优化产品结构，同时加强成本管控，开源节流，提升利润水平。</w:t>
            </w:r>
          </w:p>
        </w:tc>
      </w:tr>
      <w:tr w:rsidR="008702AC" w:rsidTr="00113E68">
        <w:trPr>
          <w:trHeight w:val="382"/>
          <w:jc w:val="center"/>
        </w:trPr>
        <w:tc>
          <w:tcPr>
            <w:tcW w:w="1701" w:type="dxa"/>
            <w:vAlign w:val="center"/>
          </w:tcPr>
          <w:p w:rsidR="008702AC" w:rsidRDefault="00E2031E" w:rsidP="00685662">
            <w:pPr>
              <w:snapToGrid w:val="0"/>
              <w:jc w:val="center"/>
              <w:rPr>
                <w:bCs/>
                <w:iCs/>
                <w:color w:val="000000"/>
                <w:sz w:val="24"/>
              </w:rPr>
            </w:pPr>
            <w:r>
              <w:rPr>
                <w:bCs/>
                <w:iCs/>
                <w:color w:val="000000"/>
                <w:sz w:val="24"/>
              </w:rPr>
              <w:lastRenderedPageBreak/>
              <w:t>附件清单</w:t>
            </w:r>
          </w:p>
        </w:tc>
        <w:tc>
          <w:tcPr>
            <w:tcW w:w="7295" w:type="dxa"/>
            <w:vAlign w:val="center"/>
          </w:tcPr>
          <w:p w:rsidR="008702AC" w:rsidRDefault="00E2031E" w:rsidP="00685662">
            <w:pPr>
              <w:snapToGrid w:val="0"/>
              <w:jc w:val="center"/>
              <w:rPr>
                <w:bCs/>
                <w:iCs/>
                <w:color w:val="000000"/>
                <w:sz w:val="24"/>
              </w:rPr>
            </w:pPr>
            <w:r>
              <w:rPr>
                <w:bCs/>
                <w:iCs/>
                <w:color w:val="000000"/>
                <w:sz w:val="24"/>
              </w:rPr>
              <w:t>无</w:t>
            </w:r>
          </w:p>
        </w:tc>
      </w:tr>
      <w:tr w:rsidR="008702AC" w:rsidTr="00113E68">
        <w:trPr>
          <w:trHeight w:val="377"/>
          <w:jc w:val="center"/>
        </w:trPr>
        <w:tc>
          <w:tcPr>
            <w:tcW w:w="1701" w:type="dxa"/>
            <w:vAlign w:val="center"/>
          </w:tcPr>
          <w:p w:rsidR="008702AC" w:rsidRDefault="00E2031E" w:rsidP="00685662">
            <w:pPr>
              <w:snapToGrid w:val="0"/>
              <w:jc w:val="center"/>
              <w:rPr>
                <w:bCs/>
                <w:iCs/>
                <w:color w:val="000000"/>
                <w:sz w:val="24"/>
              </w:rPr>
            </w:pPr>
            <w:r>
              <w:rPr>
                <w:bCs/>
                <w:iCs/>
                <w:color w:val="000000"/>
                <w:sz w:val="24"/>
              </w:rPr>
              <w:t>日期</w:t>
            </w:r>
          </w:p>
        </w:tc>
        <w:tc>
          <w:tcPr>
            <w:tcW w:w="7295" w:type="dxa"/>
            <w:vAlign w:val="center"/>
          </w:tcPr>
          <w:p w:rsidR="008702AC" w:rsidRDefault="00E261FD" w:rsidP="00685662">
            <w:pPr>
              <w:snapToGrid w:val="0"/>
              <w:jc w:val="center"/>
              <w:rPr>
                <w:bCs/>
                <w:iCs/>
                <w:color w:val="000000"/>
                <w:sz w:val="24"/>
              </w:rPr>
            </w:pPr>
            <w:r w:rsidRPr="00E261FD">
              <w:rPr>
                <w:rFonts w:hint="eastAsia"/>
                <w:bCs/>
                <w:iCs/>
                <w:color w:val="000000"/>
                <w:sz w:val="24"/>
              </w:rPr>
              <w:t>2026</w:t>
            </w:r>
            <w:r w:rsidRPr="00E261FD">
              <w:rPr>
                <w:rFonts w:hint="eastAsia"/>
                <w:bCs/>
                <w:iCs/>
                <w:color w:val="000000"/>
                <w:sz w:val="24"/>
              </w:rPr>
              <w:t>年</w:t>
            </w:r>
            <w:r w:rsidRPr="00E261FD">
              <w:rPr>
                <w:rFonts w:hint="eastAsia"/>
                <w:bCs/>
                <w:iCs/>
                <w:color w:val="000000"/>
                <w:sz w:val="24"/>
              </w:rPr>
              <w:t>5</w:t>
            </w:r>
            <w:r w:rsidRPr="00E261FD">
              <w:rPr>
                <w:rFonts w:hint="eastAsia"/>
                <w:bCs/>
                <w:iCs/>
                <w:color w:val="000000"/>
                <w:sz w:val="24"/>
              </w:rPr>
              <w:t>月</w:t>
            </w:r>
            <w:r w:rsidRPr="00E261FD">
              <w:rPr>
                <w:rFonts w:hint="eastAsia"/>
                <w:bCs/>
                <w:iCs/>
                <w:color w:val="000000"/>
                <w:sz w:val="24"/>
              </w:rPr>
              <w:t>6</w:t>
            </w:r>
            <w:r w:rsidRPr="00E261FD">
              <w:rPr>
                <w:rFonts w:hint="eastAsia"/>
                <w:bCs/>
                <w:iCs/>
                <w:color w:val="000000"/>
                <w:sz w:val="24"/>
              </w:rPr>
              <w:t>日</w:t>
            </w:r>
          </w:p>
        </w:tc>
      </w:tr>
    </w:tbl>
    <w:p w:rsidR="008702AC" w:rsidRDefault="008702AC">
      <w:pPr>
        <w:spacing w:line="360" w:lineRule="auto"/>
        <w:jc w:val="left"/>
        <w:rPr>
          <w:bCs/>
          <w:iCs/>
          <w:color w:val="000000"/>
          <w:sz w:val="24"/>
        </w:rPr>
      </w:pPr>
    </w:p>
    <w:sectPr w:rsidR="008702AC">
      <w:footerReference w:type="default" r:id="rId9"/>
      <w:pgSz w:w="11906" w:h="16838"/>
      <w:pgMar w:top="1276" w:right="1800" w:bottom="993" w:left="1800" w:header="851" w:footer="34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F5A" w:rsidRDefault="00E54F5A">
      <w:r>
        <w:separator/>
      </w:r>
    </w:p>
  </w:endnote>
  <w:endnote w:type="continuationSeparator" w:id="0">
    <w:p w:rsidR="00E54F5A" w:rsidRDefault="00E54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51118"/>
    </w:sdtPr>
    <w:sdtEndPr/>
    <w:sdtContent>
      <w:p w:rsidR="008702AC" w:rsidRDefault="00E2031E" w:rsidP="008C45E1">
        <w:pPr>
          <w:pStyle w:val="a5"/>
          <w:jc w:val="center"/>
        </w:pPr>
        <w:r>
          <w:rPr>
            <w:sz w:val="21"/>
          </w:rPr>
          <w:fldChar w:fldCharType="begin"/>
        </w:r>
        <w:r>
          <w:rPr>
            <w:sz w:val="21"/>
          </w:rPr>
          <w:instrText>PAGE   \* MERGEFORMAT</w:instrText>
        </w:r>
        <w:r>
          <w:rPr>
            <w:sz w:val="21"/>
          </w:rPr>
          <w:fldChar w:fldCharType="separate"/>
        </w:r>
        <w:r w:rsidR="00685662" w:rsidRPr="00685662">
          <w:rPr>
            <w:noProof/>
            <w:sz w:val="21"/>
            <w:lang w:val="zh-CN"/>
          </w:rPr>
          <w:t>1</w:t>
        </w:r>
        <w:r>
          <w:rPr>
            <w:sz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F5A" w:rsidRDefault="00E54F5A">
      <w:r>
        <w:separator/>
      </w:r>
    </w:p>
  </w:footnote>
  <w:footnote w:type="continuationSeparator" w:id="0">
    <w:p w:rsidR="00E54F5A" w:rsidRDefault="00E54F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1CB203"/>
    <w:multiLevelType w:val="singleLevel"/>
    <w:tmpl w:val="CD1CB203"/>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56"/>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172A27"/>
    <w:rsid w:val="00011325"/>
    <w:rsid w:val="000178D2"/>
    <w:rsid w:val="00023909"/>
    <w:rsid w:val="00025A5F"/>
    <w:rsid w:val="00032745"/>
    <w:rsid w:val="000352BC"/>
    <w:rsid w:val="000366BD"/>
    <w:rsid w:val="00041484"/>
    <w:rsid w:val="000419AE"/>
    <w:rsid w:val="000429C5"/>
    <w:rsid w:val="0004519B"/>
    <w:rsid w:val="00050159"/>
    <w:rsid w:val="00052715"/>
    <w:rsid w:val="00052E4B"/>
    <w:rsid w:val="00064653"/>
    <w:rsid w:val="00065B21"/>
    <w:rsid w:val="00066F37"/>
    <w:rsid w:val="00067516"/>
    <w:rsid w:val="00067C9E"/>
    <w:rsid w:val="00072ABE"/>
    <w:rsid w:val="00076762"/>
    <w:rsid w:val="000775B5"/>
    <w:rsid w:val="00083557"/>
    <w:rsid w:val="00085547"/>
    <w:rsid w:val="000859E6"/>
    <w:rsid w:val="000903A3"/>
    <w:rsid w:val="000932B2"/>
    <w:rsid w:val="000A1C55"/>
    <w:rsid w:val="000B287E"/>
    <w:rsid w:val="000B2895"/>
    <w:rsid w:val="000B5899"/>
    <w:rsid w:val="000B6E55"/>
    <w:rsid w:val="000B7318"/>
    <w:rsid w:val="000C3ED5"/>
    <w:rsid w:val="000D6AA0"/>
    <w:rsid w:val="000E147C"/>
    <w:rsid w:val="000E28BD"/>
    <w:rsid w:val="000E7C31"/>
    <w:rsid w:val="000F302B"/>
    <w:rsid w:val="000F5615"/>
    <w:rsid w:val="000F6CD5"/>
    <w:rsid w:val="001001B9"/>
    <w:rsid w:val="001039A2"/>
    <w:rsid w:val="00103B64"/>
    <w:rsid w:val="00103DCE"/>
    <w:rsid w:val="00111DDE"/>
    <w:rsid w:val="00113E68"/>
    <w:rsid w:val="00122146"/>
    <w:rsid w:val="00125478"/>
    <w:rsid w:val="00126670"/>
    <w:rsid w:val="00132A1A"/>
    <w:rsid w:val="00135731"/>
    <w:rsid w:val="0013768B"/>
    <w:rsid w:val="00137A5D"/>
    <w:rsid w:val="001411F0"/>
    <w:rsid w:val="00141DF0"/>
    <w:rsid w:val="0014362A"/>
    <w:rsid w:val="00153D37"/>
    <w:rsid w:val="00157785"/>
    <w:rsid w:val="001674A5"/>
    <w:rsid w:val="00172A27"/>
    <w:rsid w:val="001762B8"/>
    <w:rsid w:val="001840AF"/>
    <w:rsid w:val="0018466F"/>
    <w:rsid w:val="0018492D"/>
    <w:rsid w:val="00184C11"/>
    <w:rsid w:val="001956D7"/>
    <w:rsid w:val="001A005F"/>
    <w:rsid w:val="001A66F8"/>
    <w:rsid w:val="001B05F8"/>
    <w:rsid w:val="001B2DAA"/>
    <w:rsid w:val="001B304F"/>
    <w:rsid w:val="001B4981"/>
    <w:rsid w:val="001B4CA1"/>
    <w:rsid w:val="001C0246"/>
    <w:rsid w:val="001C0A1C"/>
    <w:rsid w:val="001D3A51"/>
    <w:rsid w:val="001D4086"/>
    <w:rsid w:val="001D6C0E"/>
    <w:rsid w:val="001E3E1A"/>
    <w:rsid w:val="001E7518"/>
    <w:rsid w:val="001F1D5B"/>
    <w:rsid w:val="001F62A1"/>
    <w:rsid w:val="001F62E1"/>
    <w:rsid w:val="00202BCA"/>
    <w:rsid w:val="00210BC3"/>
    <w:rsid w:val="00212CAD"/>
    <w:rsid w:val="00215C12"/>
    <w:rsid w:val="00216D24"/>
    <w:rsid w:val="00224331"/>
    <w:rsid w:val="00227C73"/>
    <w:rsid w:val="00230997"/>
    <w:rsid w:val="002343DC"/>
    <w:rsid w:val="00234BB8"/>
    <w:rsid w:val="002428D9"/>
    <w:rsid w:val="002437D2"/>
    <w:rsid w:val="00244E76"/>
    <w:rsid w:val="00252A11"/>
    <w:rsid w:val="00261949"/>
    <w:rsid w:val="002656F8"/>
    <w:rsid w:val="002667A1"/>
    <w:rsid w:val="00270841"/>
    <w:rsid w:val="00274832"/>
    <w:rsid w:val="00284930"/>
    <w:rsid w:val="00286CC0"/>
    <w:rsid w:val="00287F08"/>
    <w:rsid w:val="00292492"/>
    <w:rsid w:val="002974EA"/>
    <w:rsid w:val="002A3DEB"/>
    <w:rsid w:val="002A4E88"/>
    <w:rsid w:val="002B4364"/>
    <w:rsid w:val="002C11D9"/>
    <w:rsid w:val="002C1579"/>
    <w:rsid w:val="002D501A"/>
    <w:rsid w:val="002E0E7C"/>
    <w:rsid w:val="002E284D"/>
    <w:rsid w:val="002E3C6F"/>
    <w:rsid w:val="002E5D97"/>
    <w:rsid w:val="002E73CA"/>
    <w:rsid w:val="0030299A"/>
    <w:rsid w:val="003079B4"/>
    <w:rsid w:val="00312D7C"/>
    <w:rsid w:val="00314729"/>
    <w:rsid w:val="00320D64"/>
    <w:rsid w:val="00324D6A"/>
    <w:rsid w:val="00325C1F"/>
    <w:rsid w:val="0032719F"/>
    <w:rsid w:val="0033034C"/>
    <w:rsid w:val="00347D4B"/>
    <w:rsid w:val="003568B7"/>
    <w:rsid w:val="00356959"/>
    <w:rsid w:val="00357DC3"/>
    <w:rsid w:val="0036228F"/>
    <w:rsid w:val="00364123"/>
    <w:rsid w:val="00366682"/>
    <w:rsid w:val="003701AB"/>
    <w:rsid w:val="00371E99"/>
    <w:rsid w:val="003724BC"/>
    <w:rsid w:val="0037415D"/>
    <w:rsid w:val="00374344"/>
    <w:rsid w:val="0037533E"/>
    <w:rsid w:val="00376A73"/>
    <w:rsid w:val="00380293"/>
    <w:rsid w:val="00391FDD"/>
    <w:rsid w:val="003A2227"/>
    <w:rsid w:val="003A76BF"/>
    <w:rsid w:val="003B1E99"/>
    <w:rsid w:val="003B3E05"/>
    <w:rsid w:val="003C060C"/>
    <w:rsid w:val="003C2F4A"/>
    <w:rsid w:val="003C3391"/>
    <w:rsid w:val="003C7052"/>
    <w:rsid w:val="003D3A81"/>
    <w:rsid w:val="003D652D"/>
    <w:rsid w:val="003E09DE"/>
    <w:rsid w:val="003E1A73"/>
    <w:rsid w:val="003E2195"/>
    <w:rsid w:val="003E4FF8"/>
    <w:rsid w:val="003E78E4"/>
    <w:rsid w:val="003F4CF2"/>
    <w:rsid w:val="00401350"/>
    <w:rsid w:val="00401D14"/>
    <w:rsid w:val="004026B3"/>
    <w:rsid w:val="004038E5"/>
    <w:rsid w:val="004045C3"/>
    <w:rsid w:val="00405DFF"/>
    <w:rsid w:val="00406A99"/>
    <w:rsid w:val="00411410"/>
    <w:rsid w:val="00413ABD"/>
    <w:rsid w:val="00417E54"/>
    <w:rsid w:val="004241FE"/>
    <w:rsid w:val="00426E0B"/>
    <w:rsid w:val="00427A4D"/>
    <w:rsid w:val="00432989"/>
    <w:rsid w:val="00432EDC"/>
    <w:rsid w:val="0043517F"/>
    <w:rsid w:val="00435C30"/>
    <w:rsid w:val="00436903"/>
    <w:rsid w:val="00436E42"/>
    <w:rsid w:val="0043735D"/>
    <w:rsid w:val="004401DF"/>
    <w:rsid w:val="00444263"/>
    <w:rsid w:val="00445C9A"/>
    <w:rsid w:val="00462415"/>
    <w:rsid w:val="0046300D"/>
    <w:rsid w:val="00464D64"/>
    <w:rsid w:val="00467B8C"/>
    <w:rsid w:val="00470AF2"/>
    <w:rsid w:val="00472421"/>
    <w:rsid w:val="00472BC3"/>
    <w:rsid w:val="00473D0A"/>
    <w:rsid w:val="00485D75"/>
    <w:rsid w:val="0048726E"/>
    <w:rsid w:val="004872A1"/>
    <w:rsid w:val="0049119F"/>
    <w:rsid w:val="00492693"/>
    <w:rsid w:val="00496AF8"/>
    <w:rsid w:val="004A164C"/>
    <w:rsid w:val="004A293F"/>
    <w:rsid w:val="004A6789"/>
    <w:rsid w:val="004B0D2E"/>
    <w:rsid w:val="004B28E7"/>
    <w:rsid w:val="004C0202"/>
    <w:rsid w:val="004C7908"/>
    <w:rsid w:val="004D2544"/>
    <w:rsid w:val="004D3D4E"/>
    <w:rsid w:val="004D74C5"/>
    <w:rsid w:val="004E055D"/>
    <w:rsid w:val="004E291A"/>
    <w:rsid w:val="004E4733"/>
    <w:rsid w:val="004E7778"/>
    <w:rsid w:val="004F22F2"/>
    <w:rsid w:val="004F5D64"/>
    <w:rsid w:val="004F5F99"/>
    <w:rsid w:val="00503EE9"/>
    <w:rsid w:val="0050589D"/>
    <w:rsid w:val="00507F01"/>
    <w:rsid w:val="005103B4"/>
    <w:rsid w:val="005120BB"/>
    <w:rsid w:val="00513C39"/>
    <w:rsid w:val="00514E3F"/>
    <w:rsid w:val="00517BCB"/>
    <w:rsid w:val="005237F0"/>
    <w:rsid w:val="00523E8E"/>
    <w:rsid w:val="005247B6"/>
    <w:rsid w:val="00531625"/>
    <w:rsid w:val="005316E6"/>
    <w:rsid w:val="00532819"/>
    <w:rsid w:val="0053497E"/>
    <w:rsid w:val="00536A0D"/>
    <w:rsid w:val="00537093"/>
    <w:rsid w:val="005430CE"/>
    <w:rsid w:val="00543241"/>
    <w:rsid w:val="00543F5A"/>
    <w:rsid w:val="00547169"/>
    <w:rsid w:val="00552E89"/>
    <w:rsid w:val="00553738"/>
    <w:rsid w:val="005555EC"/>
    <w:rsid w:val="005564D3"/>
    <w:rsid w:val="00562E5F"/>
    <w:rsid w:val="00563079"/>
    <w:rsid w:val="005634C6"/>
    <w:rsid w:val="00564900"/>
    <w:rsid w:val="00574F71"/>
    <w:rsid w:val="00586412"/>
    <w:rsid w:val="005874C1"/>
    <w:rsid w:val="00587654"/>
    <w:rsid w:val="005900E7"/>
    <w:rsid w:val="00592063"/>
    <w:rsid w:val="00592866"/>
    <w:rsid w:val="00592E15"/>
    <w:rsid w:val="00592FED"/>
    <w:rsid w:val="005A1929"/>
    <w:rsid w:val="005A3EAB"/>
    <w:rsid w:val="005A67AD"/>
    <w:rsid w:val="005B0ABA"/>
    <w:rsid w:val="005B190D"/>
    <w:rsid w:val="005B7FCD"/>
    <w:rsid w:val="005C5110"/>
    <w:rsid w:val="005C67D2"/>
    <w:rsid w:val="005D381D"/>
    <w:rsid w:val="005D564B"/>
    <w:rsid w:val="005E0C20"/>
    <w:rsid w:val="005E2311"/>
    <w:rsid w:val="005F03E5"/>
    <w:rsid w:val="00600D13"/>
    <w:rsid w:val="00601213"/>
    <w:rsid w:val="00603CD2"/>
    <w:rsid w:val="006042D1"/>
    <w:rsid w:val="00607E4F"/>
    <w:rsid w:val="00610346"/>
    <w:rsid w:val="00612223"/>
    <w:rsid w:val="00613238"/>
    <w:rsid w:val="006209BC"/>
    <w:rsid w:val="00624379"/>
    <w:rsid w:val="00627170"/>
    <w:rsid w:val="00630BE7"/>
    <w:rsid w:val="00631050"/>
    <w:rsid w:val="00631D2D"/>
    <w:rsid w:val="0063491F"/>
    <w:rsid w:val="00647E8F"/>
    <w:rsid w:val="006579ED"/>
    <w:rsid w:val="0066380A"/>
    <w:rsid w:val="006657C8"/>
    <w:rsid w:val="006664A7"/>
    <w:rsid w:val="0067110E"/>
    <w:rsid w:val="0067223B"/>
    <w:rsid w:val="006752EE"/>
    <w:rsid w:val="00682C51"/>
    <w:rsid w:val="00683BD8"/>
    <w:rsid w:val="006855FC"/>
    <w:rsid w:val="00685662"/>
    <w:rsid w:val="0068693C"/>
    <w:rsid w:val="0068771F"/>
    <w:rsid w:val="00690E28"/>
    <w:rsid w:val="006925FE"/>
    <w:rsid w:val="006944B5"/>
    <w:rsid w:val="00696299"/>
    <w:rsid w:val="006A1EF0"/>
    <w:rsid w:val="006A6ACE"/>
    <w:rsid w:val="006B06DA"/>
    <w:rsid w:val="006B7ADF"/>
    <w:rsid w:val="006C1AFA"/>
    <w:rsid w:val="006C3C9C"/>
    <w:rsid w:val="006C5038"/>
    <w:rsid w:val="006D2480"/>
    <w:rsid w:val="006D3D3E"/>
    <w:rsid w:val="006D4B1D"/>
    <w:rsid w:val="006E6F1C"/>
    <w:rsid w:val="006E7889"/>
    <w:rsid w:val="00700070"/>
    <w:rsid w:val="00705162"/>
    <w:rsid w:val="0070555B"/>
    <w:rsid w:val="00705C33"/>
    <w:rsid w:val="00706BAF"/>
    <w:rsid w:val="00707A4F"/>
    <w:rsid w:val="00711201"/>
    <w:rsid w:val="0071290E"/>
    <w:rsid w:val="007211B8"/>
    <w:rsid w:val="00730ECD"/>
    <w:rsid w:val="0073328D"/>
    <w:rsid w:val="0073349B"/>
    <w:rsid w:val="00733993"/>
    <w:rsid w:val="007364EA"/>
    <w:rsid w:val="007376B9"/>
    <w:rsid w:val="0074190A"/>
    <w:rsid w:val="00743DF6"/>
    <w:rsid w:val="007460A7"/>
    <w:rsid w:val="007460C2"/>
    <w:rsid w:val="0074642B"/>
    <w:rsid w:val="00747F1D"/>
    <w:rsid w:val="00753914"/>
    <w:rsid w:val="00761E7C"/>
    <w:rsid w:val="007631BA"/>
    <w:rsid w:val="007662D0"/>
    <w:rsid w:val="00775A64"/>
    <w:rsid w:val="00775C84"/>
    <w:rsid w:val="00777037"/>
    <w:rsid w:val="00780EC3"/>
    <w:rsid w:val="007815DB"/>
    <w:rsid w:val="00782DC0"/>
    <w:rsid w:val="0078790C"/>
    <w:rsid w:val="0079001E"/>
    <w:rsid w:val="00794061"/>
    <w:rsid w:val="007945F4"/>
    <w:rsid w:val="007A524A"/>
    <w:rsid w:val="007B65B5"/>
    <w:rsid w:val="007C38B6"/>
    <w:rsid w:val="007C634F"/>
    <w:rsid w:val="007C79F4"/>
    <w:rsid w:val="007D051A"/>
    <w:rsid w:val="007D0787"/>
    <w:rsid w:val="007D096D"/>
    <w:rsid w:val="007D0992"/>
    <w:rsid w:val="007D25BA"/>
    <w:rsid w:val="007F35B6"/>
    <w:rsid w:val="007F77FB"/>
    <w:rsid w:val="00800008"/>
    <w:rsid w:val="0080019D"/>
    <w:rsid w:val="008076E4"/>
    <w:rsid w:val="00807963"/>
    <w:rsid w:val="00807D84"/>
    <w:rsid w:val="008103FB"/>
    <w:rsid w:val="008155F4"/>
    <w:rsid w:val="00815C78"/>
    <w:rsid w:val="0082157F"/>
    <w:rsid w:val="00823E9A"/>
    <w:rsid w:val="00825600"/>
    <w:rsid w:val="0083701D"/>
    <w:rsid w:val="00842441"/>
    <w:rsid w:val="00851977"/>
    <w:rsid w:val="00854BD6"/>
    <w:rsid w:val="00855F0E"/>
    <w:rsid w:val="008637B0"/>
    <w:rsid w:val="0086508C"/>
    <w:rsid w:val="008663F4"/>
    <w:rsid w:val="00867D3D"/>
    <w:rsid w:val="008702AC"/>
    <w:rsid w:val="00870DE6"/>
    <w:rsid w:val="00880612"/>
    <w:rsid w:val="00880D4E"/>
    <w:rsid w:val="00887D38"/>
    <w:rsid w:val="008902B4"/>
    <w:rsid w:val="00892D6E"/>
    <w:rsid w:val="00896899"/>
    <w:rsid w:val="008975F4"/>
    <w:rsid w:val="008A0CF9"/>
    <w:rsid w:val="008A5A85"/>
    <w:rsid w:val="008A6EE8"/>
    <w:rsid w:val="008B08A4"/>
    <w:rsid w:val="008B6639"/>
    <w:rsid w:val="008C07AE"/>
    <w:rsid w:val="008C45E1"/>
    <w:rsid w:val="008D168A"/>
    <w:rsid w:val="008D387F"/>
    <w:rsid w:val="008D7A22"/>
    <w:rsid w:val="008E07E7"/>
    <w:rsid w:val="008E3BEF"/>
    <w:rsid w:val="008E5C27"/>
    <w:rsid w:val="008E7919"/>
    <w:rsid w:val="008F059E"/>
    <w:rsid w:val="008F5441"/>
    <w:rsid w:val="009011E0"/>
    <w:rsid w:val="00912FA2"/>
    <w:rsid w:val="00915404"/>
    <w:rsid w:val="00917A9B"/>
    <w:rsid w:val="00927B37"/>
    <w:rsid w:val="00930B7D"/>
    <w:rsid w:val="00935F68"/>
    <w:rsid w:val="009363C8"/>
    <w:rsid w:val="009372FF"/>
    <w:rsid w:val="00937C4C"/>
    <w:rsid w:val="00940ABB"/>
    <w:rsid w:val="009416D1"/>
    <w:rsid w:val="00941934"/>
    <w:rsid w:val="0094206F"/>
    <w:rsid w:val="00950BEA"/>
    <w:rsid w:val="009513D0"/>
    <w:rsid w:val="00953F7F"/>
    <w:rsid w:val="0095430C"/>
    <w:rsid w:val="00964B2B"/>
    <w:rsid w:val="00970ECF"/>
    <w:rsid w:val="009724AF"/>
    <w:rsid w:val="00980F24"/>
    <w:rsid w:val="009814F7"/>
    <w:rsid w:val="00987B47"/>
    <w:rsid w:val="00990485"/>
    <w:rsid w:val="009920E4"/>
    <w:rsid w:val="00992385"/>
    <w:rsid w:val="0099282D"/>
    <w:rsid w:val="009944F3"/>
    <w:rsid w:val="00997595"/>
    <w:rsid w:val="009A5821"/>
    <w:rsid w:val="009A5B8F"/>
    <w:rsid w:val="009A5EDE"/>
    <w:rsid w:val="009B1F8A"/>
    <w:rsid w:val="009B24A1"/>
    <w:rsid w:val="009B3B73"/>
    <w:rsid w:val="009B70A6"/>
    <w:rsid w:val="009C249F"/>
    <w:rsid w:val="009C5DAC"/>
    <w:rsid w:val="009C6758"/>
    <w:rsid w:val="009C6A83"/>
    <w:rsid w:val="009D01D1"/>
    <w:rsid w:val="009D35E4"/>
    <w:rsid w:val="009D5B28"/>
    <w:rsid w:val="009E796F"/>
    <w:rsid w:val="00A02D99"/>
    <w:rsid w:val="00A038A4"/>
    <w:rsid w:val="00A10D6C"/>
    <w:rsid w:val="00A11A38"/>
    <w:rsid w:val="00A11E9F"/>
    <w:rsid w:val="00A15876"/>
    <w:rsid w:val="00A16469"/>
    <w:rsid w:val="00A16E09"/>
    <w:rsid w:val="00A24A36"/>
    <w:rsid w:val="00A260E9"/>
    <w:rsid w:val="00A32D56"/>
    <w:rsid w:val="00A331FE"/>
    <w:rsid w:val="00A33CF3"/>
    <w:rsid w:val="00A36905"/>
    <w:rsid w:val="00A3785D"/>
    <w:rsid w:val="00A40910"/>
    <w:rsid w:val="00A462A9"/>
    <w:rsid w:val="00A559DC"/>
    <w:rsid w:val="00A637AF"/>
    <w:rsid w:val="00A650BA"/>
    <w:rsid w:val="00A806FD"/>
    <w:rsid w:val="00A80E27"/>
    <w:rsid w:val="00A82D1B"/>
    <w:rsid w:val="00A84468"/>
    <w:rsid w:val="00A84A54"/>
    <w:rsid w:val="00A8683C"/>
    <w:rsid w:val="00A94179"/>
    <w:rsid w:val="00A94926"/>
    <w:rsid w:val="00A97562"/>
    <w:rsid w:val="00AC4E95"/>
    <w:rsid w:val="00AC6513"/>
    <w:rsid w:val="00AC6983"/>
    <w:rsid w:val="00AD7394"/>
    <w:rsid w:val="00AE7953"/>
    <w:rsid w:val="00AF0047"/>
    <w:rsid w:val="00AF0124"/>
    <w:rsid w:val="00AF2A64"/>
    <w:rsid w:val="00B059EB"/>
    <w:rsid w:val="00B1181C"/>
    <w:rsid w:val="00B12C62"/>
    <w:rsid w:val="00B150CF"/>
    <w:rsid w:val="00B27BD6"/>
    <w:rsid w:val="00B27D86"/>
    <w:rsid w:val="00B31964"/>
    <w:rsid w:val="00B356CD"/>
    <w:rsid w:val="00B37AF3"/>
    <w:rsid w:val="00B43414"/>
    <w:rsid w:val="00B50F66"/>
    <w:rsid w:val="00B546E1"/>
    <w:rsid w:val="00B57A4F"/>
    <w:rsid w:val="00B66DED"/>
    <w:rsid w:val="00B6727C"/>
    <w:rsid w:val="00B80CE9"/>
    <w:rsid w:val="00B83747"/>
    <w:rsid w:val="00B843AC"/>
    <w:rsid w:val="00B877B8"/>
    <w:rsid w:val="00B917C2"/>
    <w:rsid w:val="00B92239"/>
    <w:rsid w:val="00B9370A"/>
    <w:rsid w:val="00B970AE"/>
    <w:rsid w:val="00BA1AB0"/>
    <w:rsid w:val="00BA2C1E"/>
    <w:rsid w:val="00BA46CB"/>
    <w:rsid w:val="00BB4D32"/>
    <w:rsid w:val="00BC1FB4"/>
    <w:rsid w:val="00BC24C3"/>
    <w:rsid w:val="00BC2533"/>
    <w:rsid w:val="00BC36C7"/>
    <w:rsid w:val="00BC4FB2"/>
    <w:rsid w:val="00BC50D8"/>
    <w:rsid w:val="00BD1DAB"/>
    <w:rsid w:val="00BD2F99"/>
    <w:rsid w:val="00BD3474"/>
    <w:rsid w:val="00BD3952"/>
    <w:rsid w:val="00BD6EEB"/>
    <w:rsid w:val="00BE765B"/>
    <w:rsid w:val="00BF06CD"/>
    <w:rsid w:val="00BF4AF2"/>
    <w:rsid w:val="00C04AB5"/>
    <w:rsid w:val="00C1066C"/>
    <w:rsid w:val="00C206FA"/>
    <w:rsid w:val="00C20C33"/>
    <w:rsid w:val="00C3299D"/>
    <w:rsid w:val="00C35A5D"/>
    <w:rsid w:val="00C35B92"/>
    <w:rsid w:val="00C40467"/>
    <w:rsid w:val="00C436AF"/>
    <w:rsid w:val="00C443AE"/>
    <w:rsid w:val="00C525F5"/>
    <w:rsid w:val="00C54C11"/>
    <w:rsid w:val="00C5508B"/>
    <w:rsid w:val="00C57FA4"/>
    <w:rsid w:val="00C60A0E"/>
    <w:rsid w:val="00C63D1D"/>
    <w:rsid w:val="00C81722"/>
    <w:rsid w:val="00C817DF"/>
    <w:rsid w:val="00C83C6D"/>
    <w:rsid w:val="00C85542"/>
    <w:rsid w:val="00C85904"/>
    <w:rsid w:val="00C86267"/>
    <w:rsid w:val="00C86D5C"/>
    <w:rsid w:val="00C901A6"/>
    <w:rsid w:val="00C94503"/>
    <w:rsid w:val="00C97030"/>
    <w:rsid w:val="00CA05F6"/>
    <w:rsid w:val="00CA10DE"/>
    <w:rsid w:val="00CA3EA6"/>
    <w:rsid w:val="00CA5722"/>
    <w:rsid w:val="00CB4189"/>
    <w:rsid w:val="00CB4947"/>
    <w:rsid w:val="00CB6187"/>
    <w:rsid w:val="00CC08BE"/>
    <w:rsid w:val="00CC273C"/>
    <w:rsid w:val="00CC6D9B"/>
    <w:rsid w:val="00CC7927"/>
    <w:rsid w:val="00CC7A02"/>
    <w:rsid w:val="00CD0D65"/>
    <w:rsid w:val="00CD1320"/>
    <w:rsid w:val="00CD2295"/>
    <w:rsid w:val="00CD5EA6"/>
    <w:rsid w:val="00CE1DFA"/>
    <w:rsid w:val="00CE2AE2"/>
    <w:rsid w:val="00CE7708"/>
    <w:rsid w:val="00CF0634"/>
    <w:rsid w:val="00CF0D69"/>
    <w:rsid w:val="00D001EC"/>
    <w:rsid w:val="00D11C0B"/>
    <w:rsid w:val="00D17162"/>
    <w:rsid w:val="00D22D23"/>
    <w:rsid w:val="00D2757A"/>
    <w:rsid w:val="00D27B4A"/>
    <w:rsid w:val="00D3052F"/>
    <w:rsid w:val="00D314A2"/>
    <w:rsid w:val="00D323A0"/>
    <w:rsid w:val="00D33F9B"/>
    <w:rsid w:val="00D46F5A"/>
    <w:rsid w:val="00D54CE5"/>
    <w:rsid w:val="00D6269A"/>
    <w:rsid w:val="00D64ABA"/>
    <w:rsid w:val="00D64F13"/>
    <w:rsid w:val="00D71044"/>
    <w:rsid w:val="00D757D2"/>
    <w:rsid w:val="00D82D86"/>
    <w:rsid w:val="00D837E7"/>
    <w:rsid w:val="00D84340"/>
    <w:rsid w:val="00D85A03"/>
    <w:rsid w:val="00D871EC"/>
    <w:rsid w:val="00D94C8C"/>
    <w:rsid w:val="00DA5ED3"/>
    <w:rsid w:val="00DA741C"/>
    <w:rsid w:val="00DA7EE1"/>
    <w:rsid w:val="00DB1B1C"/>
    <w:rsid w:val="00DE53D0"/>
    <w:rsid w:val="00DE54BC"/>
    <w:rsid w:val="00DF0386"/>
    <w:rsid w:val="00DF14BE"/>
    <w:rsid w:val="00E01BB8"/>
    <w:rsid w:val="00E020AC"/>
    <w:rsid w:val="00E04D63"/>
    <w:rsid w:val="00E07D9A"/>
    <w:rsid w:val="00E11BD7"/>
    <w:rsid w:val="00E129AF"/>
    <w:rsid w:val="00E2031E"/>
    <w:rsid w:val="00E20484"/>
    <w:rsid w:val="00E2157D"/>
    <w:rsid w:val="00E2564F"/>
    <w:rsid w:val="00E261FD"/>
    <w:rsid w:val="00E30710"/>
    <w:rsid w:val="00E325A3"/>
    <w:rsid w:val="00E34753"/>
    <w:rsid w:val="00E34A85"/>
    <w:rsid w:val="00E356E0"/>
    <w:rsid w:val="00E36617"/>
    <w:rsid w:val="00E36826"/>
    <w:rsid w:val="00E3770C"/>
    <w:rsid w:val="00E5470B"/>
    <w:rsid w:val="00E54F5A"/>
    <w:rsid w:val="00E600B0"/>
    <w:rsid w:val="00E620C9"/>
    <w:rsid w:val="00E63E32"/>
    <w:rsid w:val="00E63F72"/>
    <w:rsid w:val="00E66A83"/>
    <w:rsid w:val="00E67134"/>
    <w:rsid w:val="00E70F1D"/>
    <w:rsid w:val="00E738E7"/>
    <w:rsid w:val="00E81731"/>
    <w:rsid w:val="00E9333F"/>
    <w:rsid w:val="00E94E2C"/>
    <w:rsid w:val="00EA5A1C"/>
    <w:rsid w:val="00EA6F88"/>
    <w:rsid w:val="00EB1976"/>
    <w:rsid w:val="00EB46F7"/>
    <w:rsid w:val="00EC3035"/>
    <w:rsid w:val="00ED39B4"/>
    <w:rsid w:val="00ED506F"/>
    <w:rsid w:val="00EE0F99"/>
    <w:rsid w:val="00EE3261"/>
    <w:rsid w:val="00EE5DEE"/>
    <w:rsid w:val="00EF30E5"/>
    <w:rsid w:val="00EF4EBC"/>
    <w:rsid w:val="00F01F41"/>
    <w:rsid w:val="00F05F0B"/>
    <w:rsid w:val="00F12BA0"/>
    <w:rsid w:val="00F131B8"/>
    <w:rsid w:val="00F2776F"/>
    <w:rsid w:val="00F277D7"/>
    <w:rsid w:val="00F30865"/>
    <w:rsid w:val="00F30F58"/>
    <w:rsid w:val="00F3111D"/>
    <w:rsid w:val="00F31155"/>
    <w:rsid w:val="00F326DF"/>
    <w:rsid w:val="00F33D71"/>
    <w:rsid w:val="00F367FA"/>
    <w:rsid w:val="00F420C7"/>
    <w:rsid w:val="00F50729"/>
    <w:rsid w:val="00F55C07"/>
    <w:rsid w:val="00F6005F"/>
    <w:rsid w:val="00F82099"/>
    <w:rsid w:val="00F838AE"/>
    <w:rsid w:val="00F90094"/>
    <w:rsid w:val="00F9109E"/>
    <w:rsid w:val="00F91983"/>
    <w:rsid w:val="00F92F4B"/>
    <w:rsid w:val="00F944A3"/>
    <w:rsid w:val="00F94674"/>
    <w:rsid w:val="00F9524B"/>
    <w:rsid w:val="00FA793C"/>
    <w:rsid w:val="00FB37F2"/>
    <w:rsid w:val="00FB61F8"/>
    <w:rsid w:val="00FC2E2D"/>
    <w:rsid w:val="00FC4366"/>
    <w:rsid w:val="00FC5B40"/>
    <w:rsid w:val="00FC721E"/>
    <w:rsid w:val="00FD1CA9"/>
    <w:rsid w:val="00FD2358"/>
    <w:rsid w:val="00FD5FBE"/>
    <w:rsid w:val="00FD739B"/>
    <w:rsid w:val="00FE0678"/>
    <w:rsid w:val="00FE37EC"/>
    <w:rsid w:val="00FF6A8B"/>
    <w:rsid w:val="36E62C0E"/>
    <w:rsid w:val="5A405AEC"/>
    <w:rsid w:val="7E8F0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unhideWhenUsed="0"/>
    <w:lsdException w:name="caption" w:uiPriority="35" w:qFormat="1"/>
    <w:lsdException w:name="annotation reference" w:semiHidden="0"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character" w:styleId="a8">
    <w:name w:val="Hyperlink"/>
    <w:basedOn w:val="a0"/>
    <w:qFormat/>
    <w:rPr>
      <w:color w:val="0000FF"/>
      <w:u w:val="single"/>
    </w:rPr>
  </w:style>
  <w:style w:type="character" w:styleId="a9">
    <w:name w:val="annotation reference"/>
    <w:basedOn w:val="a0"/>
    <w:link w:val="Style139"/>
    <w:unhideWhenUsed/>
    <w:qFormat/>
    <w:rPr>
      <w:sz w:val="21"/>
      <w:szCs w:val="21"/>
    </w:rPr>
  </w:style>
  <w:style w:type="paragraph" w:customStyle="1" w:styleId="Style139">
    <w:name w:val="_Style 139"/>
    <w:basedOn w:val="a"/>
    <w:link w:val="a9"/>
    <w:qFormat/>
    <w:pPr>
      <w:spacing w:after="120"/>
    </w:pPr>
    <w:rPr>
      <w:rFonts w:ascii="Calibri" w:eastAsia="微软雅黑" w:hAnsi="Calibri"/>
      <w:kern w:val="0"/>
      <w:szCs w:val="21"/>
    </w:rPr>
  </w:style>
  <w:style w:type="character" w:customStyle="1" w:styleId="Char2">
    <w:name w:val="页眉 Char"/>
    <w:basedOn w:val="a0"/>
    <w:link w:val="a6"/>
    <w:rPr>
      <w:rFonts w:ascii="Times New Roman" w:eastAsia="宋体" w:hAnsi="Times New Roman"/>
      <w:kern w:val="2"/>
      <w:sz w:val="18"/>
      <w:szCs w:val="18"/>
    </w:rPr>
  </w:style>
  <w:style w:type="character" w:customStyle="1" w:styleId="Char1">
    <w:name w:val="页脚 Char"/>
    <w:basedOn w:val="a0"/>
    <w:link w:val="a5"/>
    <w:uiPriority w:val="99"/>
    <w:rPr>
      <w:rFonts w:ascii="Times New Roman" w:eastAsia="宋体" w:hAnsi="Times New Roman"/>
      <w:kern w:val="2"/>
      <w:sz w:val="18"/>
      <w:szCs w:val="18"/>
    </w:rPr>
  </w:style>
  <w:style w:type="character" w:customStyle="1" w:styleId="Char0">
    <w:name w:val="批注框文本 Char"/>
    <w:basedOn w:val="a0"/>
    <w:link w:val="a4"/>
    <w:uiPriority w:val="99"/>
    <w:semiHidden/>
    <w:rPr>
      <w:rFonts w:ascii="Times New Roman" w:eastAsia="宋体" w:hAnsi="Times New Roman"/>
      <w:kern w:val="2"/>
      <w:sz w:val="18"/>
      <w:szCs w:val="18"/>
    </w:rPr>
  </w:style>
  <w:style w:type="paragraph" w:customStyle="1" w:styleId="Default">
    <w:name w:val="Default"/>
    <w:pPr>
      <w:widowControl w:val="0"/>
      <w:autoSpaceDE w:val="0"/>
      <w:autoSpaceDN w:val="0"/>
      <w:adjustRightInd w:val="0"/>
    </w:pPr>
    <w:rPr>
      <w:rFonts w:ascii="宋体" w:hAnsi="Calibri" w:cs="宋体"/>
      <w:color w:val="000000"/>
      <w:sz w:val="24"/>
      <w:szCs w:val="24"/>
    </w:rPr>
  </w:style>
  <w:style w:type="paragraph" w:styleId="aa">
    <w:name w:val="List Paragraph"/>
    <w:basedOn w:val="a"/>
    <w:uiPriority w:val="34"/>
    <w:qFormat/>
    <w:pPr>
      <w:ind w:firstLineChars="200" w:firstLine="420"/>
    </w:pPr>
  </w:style>
  <w:style w:type="character" w:customStyle="1" w:styleId="Char">
    <w:name w:val="批注文字 Char"/>
    <w:basedOn w:val="a0"/>
    <w:link w:val="a3"/>
    <w:uiPriority w:val="99"/>
    <w:semiHidden/>
    <w:rPr>
      <w:rFonts w:ascii="Times New Roman" w:eastAsia="宋体" w:hAnsi="Times New Roman"/>
      <w:kern w:val="2"/>
      <w:sz w:val="21"/>
      <w:szCs w:val="24"/>
    </w:rPr>
  </w:style>
  <w:style w:type="character" w:customStyle="1" w:styleId="Char3">
    <w:name w:val="批注主题 Char"/>
    <w:basedOn w:val="Char"/>
    <w:link w:val="a7"/>
    <w:uiPriority w:val="99"/>
    <w:semiHidden/>
    <w:rPr>
      <w:rFonts w:ascii="Times New Roman" w:eastAsia="宋体" w:hAnsi="Times New Roman"/>
      <w:b/>
      <w:bCs/>
      <w:kern w:val="2"/>
      <w:sz w:val="21"/>
      <w:szCs w:val="24"/>
    </w:rPr>
  </w:style>
  <w:style w:type="character" w:customStyle="1" w:styleId="Char30">
    <w:name w:val="批注文字 Char3"/>
    <w:basedOn w:val="a0"/>
    <w:uiPriority w:val="99"/>
    <w:qFormat/>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unhideWhenUsed="0"/>
    <w:lsdException w:name="caption" w:uiPriority="35" w:qFormat="1"/>
    <w:lsdException w:name="annotation reference" w:semiHidden="0"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character" w:styleId="a8">
    <w:name w:val="Hyperlink"/>
    <w:basedOn w:val="a0"/>
    <w:qFormat/>
    <w:rPr>
      <w:color w:val="0000FF"/>
      <w:u w:val="single"/>
    </w:rPr>
  </w:style>
  <w:style w:type="character" w:styleId="a9">
    <w:name w:val="annotation reference"/>
    <w:basedOn w:val="a0"/>
    <w:link w:val="Style139"/>
    <w:unhideWhenUsed/>
    <w:qFormat/>
    <w:rPr>
      <w:sz w:val="21"/>
      <w:szCs w:val="21"/>
    </w:rPr>
  </w:style>
  <w:style w:type="paragraph" w:customStyle="1" w:styleId="Style139">
    <w:name w:val="_Style 139"/>
    <w:basedOn w:val="a"/>
    <w:link w:val="a9"/>
    <w:qFormat/>
    <w:pPr>
      <w:spacing w:after="120"/>
    </w:pPr>
    <w:rPr>
      <w:rFonts w:ascii="Calibri" w:eastAsia="微软雅黑" w:hAnsi="Calibri"/>
      <w:kern w:val="0"/>
      <w:szCs w:val="21"/>
    </w:rPr>
  </w:style>
  <w:style w:type="character" w:customStyle="1" w:styleId="Char2">
    <w:name w:val="页眉 Char"/>
    <w:basedOn w:val="a0"/>
    <w:link w:val="a6"/>
    <w:rPr>
      <w:rFonts w:ascii="Times New Roman" w:eastAsia="宋体" w:hAnsi="Times New Roman"/>
      <w:kern w:val="2"/>
      <w:sz w:val="18"/>
      <w:szCs w:val="18"/>
    </w:rPr>
  </w:style>
  <w:style w:type="character" w:customStyle="1" w:styleId="Char1">
    <w:name w:val="页脚 Char"/>
    <w:basedOn w:val="a0"/>
    <w:link w:val="a5"/>
    <w:uiPriority w:val="99"/>
    <w:rPr>
      <w:rFonts w:ascii="Times New Roman" w:eastAsia="宋体" w:hAnsi="Times New Roman"/>
      <w:kern w:val="2"/>
      <w:sz w:val="18"/>
      <w:szCs w:val="18"/>
    </w:rPr>
  </w:style>
  <w:style w:type="character" w:customStyle="1" w:styleId="Char0">
    <w:name w:val="批注框文本 Char"/>
    <w:basedOn w:val="a0"/>
    <w:link w:val="a4"/>
    <w:uiPriority w:val="99"/>
    <w:semiHidden/>
    <w:rPr>
      <w:rFonts w:ascii="Times New Roman" w:eastAsia="宋体" w:hAnsi="Times New Roman"/>
      <w:kern w:val="2"/>
      <w:sz w:val="18"/>
      <w:szCs w:val="18"/>
    </w:rPr>
  </w:style>
  <w:style w:type="paragraph" w:customStyle="1" w:styleId="Default">
    <w:name w:val="Default"/>
    <w:pPr>
      <w:widowControl w:val="0"/>
      <w:autoSpaceDE w:val="0"/>
      <w:autoSpaceDN w:val="0"/>
      <w:adjustRightInd w:val="0"/>
    </w:pPr>
    <w:rPr>
      <w:rFonts w:ascii="宋体" w:hAnsi="Calibri" w:cs="宋体"/>
      <w:color w:val="000000"/>
      <w:sz w:val="24"/>
      <w:szCs w:val="24"/>
    </w:rPr>
  </w:style>
  <w:style w:type="paragraph" w:styleId="aa">
    <w:name w:val="List Paragraph"/>
    <w:basedOn w:val="a"/>
    <w:uiPriority w:val="34"/>
    <w:qFormat/>
    <w:pPr>
      <w:ind w:firstLineChars="200" w:firstLine="420"/>
    </w:pPr>
  </w:style>
  <w:style w:type="character" w:customStyle="1" w:styleId="Char">
    <w:name w:val="批注文字 Char"/>
    <w:basedOn w:val="a0"/>
    <w:link w:val="a3"/>
    <w:uiPriority w:val="99"/>
    <w:semiHidden/>
    <w:rPr>
      <w:rFonts w:ascii="Times New Roman" w:eastAsia="宋体" w:hAnsi="Times New Roman"/>
      <w:kern w:val="2"/>
      <w:sz w:val="21"/>
      <w:szCs w:val="24"/>
    </w:rPr>
  </w:style>
  <w:style w:type="character" w:customStyle="1" w:styleId="Char3">
    <w:name w:val="批注主题 Char"/>
    <w:basedOn w:val="Char"/>
    <w:link w:val="a7"/>
    <w:uiPriority w:val="99"/>
    <w:semiHidden/>
    <w:rPr>
      <w:rFonts w:ascii="Times New Roman" w:eastAsia="宋体" w:hAnsi="Times New Roman"/>
      <w:b/>
      <w:bCs/>
      <w:kern w:val="2"/>
      <w:sz w:val="21"/>
      <w:szCs w:val="24"/>
    </w:rPr>
  </w:style>
  <w:style w:type="character" w:customStyle="1" w:styleId="Char30">
    <w:name w:val="批注文字 Char3"/>
    <w:basedOn w:val="a0"/>
    <w:uiPriority w:val="99"/>
    <w:qFormat/>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2362C-F9EF-4F58-BDF5-A2F03641F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273</Words>
  <Characters>1559</Characters>
  <Application>Microsoft Office Word</Application>
  <DocSecurity>0</DocSecurity>
  <Lines>12</Lines>
  <Paragraphs>3</Paragraphs>
  <ScaleCrop>false</ScaleCrop>
  <Company>www.sdwmbbs.com</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 300219                                  证券简称：鸿利光电</dc:title>
  <dc:creator>深度完美技术论坛</dc:creator>
  <cp:lastModifiedBy>胡鹏新</cp:lastModifiedBy>
  <cp:revision>27</cp:revision>
  <cp:lastPrinted>2024-04-30T03:18:00Z</cp:lastPrinted>
  <dcterms:created xsi:type="dcterms:W3CDTF">2023-12-11T02:44:00Z</dcterms:created>
  <dcterms:modified xsi:type="dcterms:W3CDTF">2026-05-06T09:09:00Z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20870421B9DF4143A7D7AED87118703D_13</vt:lpwstr>
  </property>
</Properties>
</file>