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0BB37" w14:textId="77777777" w:rsidR="00FF558D" w:rsidRDefault="00513407">
      <w:pPr>
        <w:pStyle w:val="1"/>
        <w:rPr>
          <w:color w:val="000000" w:themeColor="text1"/>
        </w:rPr>
      </w:pPr>
      <w:r>
        <w:rPr>
          <w:color w:val="000000" w:themeColor="text1"/>
        </w:rPr>
        <w:t>证券代码：</w:t>
      </w:r>
      <w:r w:rsidRPr="00173A01">
        <w:rPr>
          <w:color w:val="000000" w:themeColor="text1"/>
        </w:rPr>
        <w:t>600143</w:t>
      </w:r>
      <w:r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>证券简称：金发科技</w:t>
      </w:r>
    </w:p>
    <w:p w14:paraId="1C0B17C1" w14:textId="77777777" w:rsidR="00FF558D" w:rsidRDefault="00FF558D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</w:p>
    <w:p w14:paraId="709B1ABB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金发科技股份有限公司</w:t>
      </w:r>
    </w:p>
    <w:p w14:paraId="095D6D0D" w14:textId="77777777" w:rsidR="00FF558D" w:rsidRDefault="00513407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投资者关系活动记录表</w:t>
      </w:r>
    </w:p>
    <w:p w14:paraId="602D3B9A" w14:textId="2F465F23" w:rsidR="00FF558D" w:rsidRDefault="00513407">
      <w:pPr>
        <w:spacing w:before="120" w:after="32"/>
        <w:ind w:right="139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编号：</w:t>
      </w:r>
      <w:r w:rsidRPr="00173A01"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202</w:t>
      </w:r>
      <w:r w:rsidR="00EC6CD1" w:rsidRPr="00173A01"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 w:rsidRPr="00173A01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="00EC6CD1" w:rsidRPr="00173A01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="00B546CE" w:rsidRPr="00173A01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FF558D" w14:paraId="53FD1752" w14:textId="7777777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77777777" w:rsidR="00FF558D" w:rsidRDefault="00DF48F2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特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定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对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象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调研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分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析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师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会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议</w:t>
            </w:r>
          </w:p>
          <w:p w14:paraId="6D2945DC" w14:textId="77777777" w:rsidR="00FF558D" w:rsidRDefault="00DF48F2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媒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体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采访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业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绩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说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明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会</w:t>
            </w:r>
          </w:p>
          <w:p w14:paraId="636A0A9F" w14:textId="77777777" w:rsidR="00FF558D" w:rsidRDefault="00DF48F2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新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闻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发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布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会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4120496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路</w:t>
            </w:r>
            <w:r w:rsidR="00513407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演</w:t>
            </w:r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活动</w:t>
            </w:r>
          </w:p>
          <w:p w14:paraId="76265FC8" w14:textId="77777777" w:rsidR="00FF558D" w:rsidRDefault="00DF48F2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现场参观</w:t>
            </w:r>
          </w:p>
          <w:p w14:paraId="39357CAF" w14:textId="77777777" w:rsidR="00FF558D" w:rsidRDefault="00DF48F2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40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其他（</w:t>
            </w:r>
            <w:proofErr w:type="gramStart"/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请文字</w:t>
            </w:r>
            <w:proofErr w:type="gramEnd"/>
            <w:r w:rsidR="00513407">
              <w:rPr>
                <w:rFonts w:ascii="Times New Roman" w:hAnsi="Times New Roman" w:cs="Times New Roman"/>
                <w:b w:val="0"/>
                <w:sz w:val="24"/>
                <w:szCs w:val="24"/>
              </w:rPr>
              <w:t>说明其他活动内容）</w:t>
            </w:r>
          </w:p>
        </w:tc>
      </w:tr>
      <w:tr w:rsidR="00FF558D" w14:paraId="5003BE62" w14:textId="77777777">
        <w:trPr>
          <w:trHeight w:val="754"/>
          <w:jc w:val="center"/>
        </w:trPr>
        <w:tc>
          <w:tcPr>
            <w:tcW w:w="1413" w:type="dxa"/>
            <w:vAlign w:val="center"/>
          </w:tcPr>
          <w:p w14:paraId="2F748526" w14:textId="77777777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sz w:val="24"/>
                <w:szCs w:val="24"/>
              </w:rPr>
              <w:t>参与单位及人员名称</w:t>
            </w:r>
          </w:p>
        </w:tc>
        <w:tc>
          <w:tcPr>
            <w:tcW w:w="7112" w:type="dxa"/>
            <w:vAlign w:val="center"/>
          </w:tcPr>
          <w:p w14:paraId="32D5D2C6" w14:textId="0F7C0788" w:rsidR="00FF558D" w:rsidRPr="00CD1EA5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共</w:t>
            </w:r>
            <w:r w:rsidR="00CD1EA5" w:rsidRPr="00173A0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1D2B87" w:rsidRPr="00173A0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家机构，</w:t>
            </w:r>
            <w:r w:rsidR="000F2653" w:rsidRPr="00173A0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1D2B87" w:rsidRPr="00173A0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CD1EA5">
              <w:rPr>
                <w:rFonts w:ascii="Times New Roman" w:hAnsi="Times New Roman" w:cs="Times New Roman"/>
                <w:b w:val="0"/>
                <w:sz w:val="24"/>
                <w:szCs w:val="24"/>
              </w:rPr>
              <w:t>人次，详情请见附件</w:t>
            </w:r>
          </w:p>
        </w:tc>
      </w:tr>
      <w:tr w:rsidR="00FF558D" w14:paraId="5EC88368" w14:textId="77777777">
        <w:trPr>
          <w:trHeight w:val="677"/>
          <w:jc w:val="center"/>
        </w:trPr>
        <w:tc>
          <w:tcPr>
            <w:tcW w:w="1413" w:type="dxa"/>
            <w:vAlign w:val="center"/>
          </w:tcPr>
          <w:p w14:paraId="3AABA83E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12" w:type="dxa"/>
            <w:vAlign w:val="center"/>
          </w:tcPr>
          <w:p w14:paraId="666228EA" w14:textId="53F27AC2" w:rsidR="00FF558D" w:rsidRDefault="0051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 w:rsidR="00EC6CD1"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EC6CD1"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EC6CD1"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</w:tr>
      <w:tr w:rsidR="00FF558D" w14:paraId="778D3EA6" w14:textId="77777777">
        <w:trPr>
          <w:trHeight w:val="1283"/>
          <w:jc w:val="center"/>
        </w:trPr>
        <w:tc>
          <w:tcPr>
            <w:tcW w:w="1413" w:type="dxa"/>
            <w:vAlign w:val="center"/>
          </w:tcPr>
          <w:p w14:paraId="4D6603EC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7C827877" w:rsidR="00FF558D" w:rsidRDefault="00513407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通过价值在线网络平台（网址：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www.ir-online.cn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）召开了</w:t>
            </w:r>
            <w:r w:rsidR="00EC6CD1" w:rsidRPr="00173A0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2025</w:t>
            </w:r>
            <w:r w:rsidR="00EC6CD1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年年报暨</w:t>
            </w:r>
            <w:r w:rsidRPr="00173A0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202</w:t>
            </w:r>
            <w:r w:rsidR="00EC6CD1" w:rsidRPr="00173A01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年</w:t>
            </w:r>
            <w:proofErr w:type="gramStart"/>
            <w:r w:rsidR="00EC6CD1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一</w:t>
            </w:r>
            <w:proofErr w:type="gramEnd"/>
            <w:r w:rsidR="00B546CE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季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报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业绩交流会，本次交流会采用网络及电话会议的形式</w:t>
            </w:r>
          </w:p>
        </w:tc>
      </w:tr>
      <w:tr w:rsidR="00FF558D" w14:paraId="285D7903" w14:textId="77777777">
        <w:trPr>
          <w:trHeight w:val="1226"/>
          <w:jc w:val="center"/>
        </w:trPr>
        <w:tc>
          <w:tcPr>
            <w:tcW w:w="1413" w:type="dxa"/>
            <w:vAlign w:val="center"/>
          </w:tcPr>
          <w:p w14:paraId="00A94D69" w14:textId="77777777" w:rsidR="00FF558D" w:rsidRDefault="00513407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7A0B6638" w14:textId="77777777" w:rsidR="00FF558D" w:rsidRDefault="00513407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董事会秘书：戴耀珊</w:t>
            </w:r>
          </w:p>
          <w:p w14:paraId="6960244C" w14:textId="48AA29AF" w:rsidR="00FF558D" w:rsidRDefault="00513407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投资者关系总监：</w:t>
            </w:r>
            <w:r w:rsidR="00E115C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吴嘉崴</w:t>
            </w:r>
          </w:p>
        </w:tc>
      </w:tr>
      <w:tr w:rsidR="00FF558D" w14:paraId="11F28C0B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67F7A8B9" w14:textId="42AA141F" w:rsidR="00FF558D" w:rsidRPr="0045034E" w:rsidRDefault="00513407" w:rsidP="0045034E">
            <w:pPr>
              <w:pStyle w:val="TableParagraph"/>
              <w:spacing w:beforeLines="100" w:before="240" w:afterLines="50" w:after="12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一、公司</w:t>
            </w: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8D3C8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及</w:t>
            </w:r>
            <w:r w:rsidR="008D3C8C" w:rsidRPr="00173A01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D3C8C"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026</w:t>
            </w:r>
            <w:r w:rsidR="008D3C8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年一</w:t>
            </w:r>
            <w:r w:rsidR="00B546CE"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季度</w:t>
            </w: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经营情况介绍</w:t>
            </w:r>
          </w:p>
          <w:p w14:paraId="5AE30249" w14:textId="797DF018" w:rsidR="0045034E" w:rsidRPr="00B76131" w:rsidRDefault="00885732" w:rsidP="00183182">
            <w:pPr>
              <w:pStyle w:val="TableParagraph"/>
              <w:ind w:firstLine="480"/>
              <w:jc w:val="left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公司积极落实“聚焦创新驱动，提升组织效能，加速国际化进程”</w:t>
            </w:r>
            <w:r w:rsidR="00E31F08" w:rsidRPr="00E31F0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的年度管理主题，依托全球领先的应用创新能力，围绕新质生产力加强科技创新，深化一体化及全球化产业链布局，强化供应</w:t>
            </w:r>
            <w:proofErr w:type="gramStart"/>
            <w:r w:rsidR="00E31F08" w:rsidRPr="00E31F0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链安全</w:t>
            </w:r>
            <w:proofErr w:type="gramEnd"/>
            <w:r w:rsidR="00E31F08" w:rsidRPr="00E31F0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保障，积极响应国家的“双碳”战略和“两新”政策，为全球客户提供更具竞争力的新材料整体解决方案，经营质效稳步提升，高质量发展扎实推进。</w:t>
            </w:r>
            <w:r w:rsidR="00E31F08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年度，公司实现营业收入</w:t>
            </w:r>
            <w:r w:rsidR="00E31F08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653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</w:t>
            </w:r>
            <w:r w:rsidR="00E31F08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96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亿元，同比增长</w:t>
            </w:r>
            <w:r w:rsidR="00E31F08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</w:t>
            </w:r>
            <w:r w:rsidR="00E31F08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07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%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；实现</w:t>
            </w:r>
            <w:proofErr w:type="gramStart"/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归母净利润</w:t>
            </w:r>
            <w:proofErr w:type="gramEnd"/>
            <w:r w:rsidR="00E31F08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11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</w:t>
            </w:r>
            <w:r w:rsidR="00E31F08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50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亿元，同比增长</w:t>
            </w:r>
            <w:r w:rsidR="00E31F08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39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</w:t>
            </w:r>
            <w:r w:rsidR="00E31F08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44</w:t>
            </w:r>
            <w:r w:rsidR="00E31F08" w:rsidRPr="00E31F0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%</w:t>
            </w:r>
            <w:r w:rsidR="00E31F0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；</w:t>
            </w:r>
            <w:r w:rsidR="0045034E" w:rsidRPr="0045034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经营性现金流</w:t>
            </w:r>
            <w:r w:rsidR="0045034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净额</w:t>
            </w:r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59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</w:t>
            </w:r>
            <w:r w:rsidR="0000158C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04</w:t>
            </w:r>
            <w:r w:rsidR="0000158C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亿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元，同比增长</w:t>
            </w:r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107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</w:t>
            </w:r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52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%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2026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年第一季度营业收入</w:t>
            </w:r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155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</w:t>
            </w:r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90</w:t>
            </w:r>
            <w:r w:rsidR="00D914FB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亿元；</w:t>
            </w:r>
            <w:proofErr w:type="gramStart"/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归母净利润</w:t>
            </w:r>
            <w:proofErr w:type="gramEnd"/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</w:t>
            </w:r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05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亿元，同比增长</w:t>
            </w:r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23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</w:t>
            </w:r>
            <w:r w:rsidR="0045034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72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%</w:t>
            </w:r>
            <w:r w:rsidR="0045034E" w:rsidRPr="0045034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5964BA2B" w14:textId="77777777" w:rsidR="00FF558D" w:rsidRPr="00B76131" w:rsidRDefault="00513407">
            <w:pPr>
              <w:pStyle w:val="TableParagraph"/>
              <w:spacing w:beforeLines="50" w:before="120" w:afterLines="50" w:after="12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二、投资者提问及公司回复的主要内容</w:t>
            </w:r>
          </w:p>
          <w:p w14:paraId="5A2AECB7" w14:textId="0B2168DB" w:rsidR="00CF35E0" w:rsidRPr="00B76131" w:rsidRDefault="00CF35E0" w:rsidP="00CF35E0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B76131"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请</w:t>
            </w:r>
            <w:r w:rsidR="00063CE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介绍</w:t>
            </w:r>
            <w:r w:rsidR="00DF4B7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一</w:t>
            </w:r>
            <w:r w:rsidR="00063CE2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下</w:t>
            </w: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公司</w:t>
            </w:r>
            <w:r w:rsidR="00DF4B7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改性塑料业务在海外的开展情况。</w:t>
            </w:r>
          </w:p>
          <w:p w14:paraId="6D39ED1E" w14:textId="2109A7B7" w:rsidR="00CF35E0" w:rsidRDefault="00CF35E0" w:rsidP="00CF35E0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B7613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答：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公司全球化战略布局成效显著，海外本土化供应与服务能力持续增强。美国、欧洲、印度、越南、马来西亚等海外基地</w:t>
            </w:r>
            <w:proofErr w:type="gramStart"/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实现量利双增</w:t>
            </w:r>
            <w:proofErr w:type="gramEnd"/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，西班牙、印尼工厂顺利投入运营，国内与海外基地高效协同、互为支撑，全球协同制造网络进一步完善，有效提升了公司的国际竞争力和品牌影响力。</w:t>
            </w:r>
            <w:r w:rsidR="00A07CFE" w:rsidRPr="00173A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</w:t>
            </w:r>
            <w:r w:rsidR="00A07CFE" w:rsidRPr="00173A0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025</w:t>
            </w:r>
            <w:r w:rsidR="00A07CF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年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，公司海外基地实现产成品销量</w:t>
            </w:r>
            <w:r w:rsidR="00CE1A40" w:rsidRPr="00173A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29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.</w:t>
            </w:r>
            <w:r w:rsidR="00CE1A40" w:rsidRPr="00173A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75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万吨，同比增长</w:t>
            </w:r>
            <w:r w:rsidR="00CE1A40" w:rsidRPr="00173A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27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.</w:t>
            </w:r>
            <w:r w:rsidR="00CE1A40" w:rsidRPr="00173A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41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%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，海外基地产成品营业收入</w:t>
            </w:r>
            <w:r w:rsidR="00CE1A40" w:rsidRPr="00173A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42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.</w:t>
            </w:r>
            <w:r w:rsidR="00CE1A40" w:rsidRPr="00173A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34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亿元，同比增长</w:t>
            </w:r>
            <w:r w:rsidR="00CE1A40" w:rsidRPr="00173A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35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.</w:t>
            </w:r>
            <w:r w:rsidR="00CE1A40" w:rsidRPr="00173A0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20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%</w:t>
            </w:r>
            <w:r w:rsidR="00CE1A40" w:rsidRPr="00CE1A4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，全球化发展迈上新台阶。</w:t>
            </w:r>
          </w:p>
          <w:p w14:paraId="0A73D2AD" w14:textId="77777777" w:rsidR="00E75564" w:rsidRPr="00B76131" w:rsidRDefault="00E75564" w:rsidP="00CF35E0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624A83A5" w14:textId="5AEFCF1A" w:rsidR="00CF35E0" w:rsidRPr="00B76131" w:rsidRDefault="00CF35E0" w:rsidP="00CF35E0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B76131"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今年</w:t>
            </w:r>
            <w:r w:rsidR="00DF4B7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中东战争</w:t>
            </w:r>
            <w:r w:rsidR="00E755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引起的</w:t>
            </w:r>
            <w:r w:rsidR="009A27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油价等化工品</w:t>
            </w:r>
            <w:r w:rsidR="00E755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价格</w:t>
            </w:r>
            <w:r w:rsidR="004156C1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上涨</w:t>
            </w:r>
            <w:r w:rsidR="00E755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对公司</w:t>
            </w:r>
            <w:r w:rsidR="00D10FE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改性</w:t>
            </w:r>
            <w:r w:rsidR="00E75564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产品毛利的影响如何？</w:t>
            </w:r>
          </w:p>
          <w:p w14:paraId="1D33B262" w14:textId="53FF4A59" w:rsidR="0009007E" w:rsidRDefault="00CF35E0" w:rsidP="0018318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  <w:szCs w:val="28"/>
              </w:rPr>
            </w:pP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答：</w:t>
            </w:r>
            <w:r w:rsidR="0009007E" w:rsidRPr="0009007E">
              <w:rPr>
                <w:rFonts w:ascii="宋体" w:eastAsia="宋体" w:hAnsi="宋体" w:hint="eastAsia"/>
                <w:sz w:val="24"/>
                <w:szCs w:val="28"/>
              </w:rPr>
              <w:t>本轮油价上涨对公司不同业务板块的影响存在结构性差异：①</w:t>
            </w:r>
            <w:r w:rsidR="00C66400" w:rsidRPr="00C66400">
              <w:rPr>
                <w:rFonts w:ascii="宋体" w:eastAsia="宋体" w:hAnsi="宋体" w:hint="eastAsia"/>
                <w:sz w:val="24"/>
                <w:szCs w:val="28"/>
              </w:rPr>
              <w:t>公司特种工程塑料的定价逻辑以技术壁垒和市场供需为核心</w:t>
            </w:r>
            <w:r w:rsidR="005F2FFC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09007E" w:rsidRPr="0009007E">
              <w:rPr>
                <w:rFonts w:ascii="宋体" w:eastAsia="宋体" w:hAnsi="宋体" w:hint="eastAsia"/>
                <w:sz w:val="24"/>
                <w:szCs w:val="28"/>
              </w:rPr>
              <w:t>虽然原料价格涨幅明显，但公司向下游传导能力相对较强，影响相对可控。②绿色石化板块与改性塑料板块受油价上涨影响较大，成本端压</w:t>
            </w:r>
            <w:proofErr w:type="gramStart"/>
            <w:r w:rsidR="0009007E" w:rsidRPr="0009007E">
              <w:rPr>
                <w:rFonts w:ascii="宋体" w:eastAsia="宋体" w:hAnsi="宋体" w:hint="eastAsia"/>
                <w:sz w:val="24"/>
                <w:szCs w:val="28"/>
              </w:rPr>
              <w:t>力显著</w:t>
            </w:r>
            <w:proofErr w:type="gramEnd"/>
            <w:r w:rsidR="0009007E" w:rsidRPr="0009007E">
              <w:rPr>
                <w:rFonts w:ascii="宋体" w:eastAsia="宋体" w:hAnsi="宋体" w:hint="eastAsia"/>
                <w:sz w:val="24"/>
                <w:szCs w:val="28"/>
              </w:rPr>
              <w:t>上升。</w:t>
            </w:r>
          </w:p>
          <w:p w14:paraId="7A0C622B" w14:textId="4AF75628" w:rsidR="002A4FBD" w:rsidRPr="002A4FBD" w:rsidRDefault="002A4FBD" w:rsidP="0018318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  <w:szCs w:val="28"/>
              </w:rPr>
            </w:pPr>
            <w:r w:rsidRPr="002A4FBD">
              <w:rPr>
                <w:rFonts w:ascii="宋体" w:eastAsia="宋体" w:hAnsi="宋体" w:hint="eastAsia"/>
                <w:sz w:val="24"/>
                <w:szCs w:val="28"/>
              </w:rPr>
              <w:t>针对原材料价格周期性波动，公司已建立成熟高效的调价联动机制。一方面，通过精益生产、供应链整合、降本增效等内部管理举措，消化部分成本增量；另一方面，结合市场行情合理传导成本压力，</w:t>
            </w:r>
            <w:r w:rsidR="00530C20">
              <w:rPr>
                <w:rFonts w:ascii="宋体" w:eastAsia="宋体" w:hAnsi="宋体" w:hint="eastAsia"/>
                <w:sz w:val="24"/>
                <w:szCs w:val="28"/>
              </w:rPr>
              <w:t>积极</w:t>
            </w:r>
            <w:r w:rsidRPr="002A4FBD">
              <w:rPr>
                <w:rFonts w:ascii="宋体" w:eastAsia="宋体" w:hAnsi="宋体" w:hint="eastAsia"/>
                <w:sz w:val="24"/>
                <w:szCs w:val="28"/>
              </w:rPr>
              <w:t>与下游客户协同</w:t>
            </w:r>
            <w:r w:rsidR="00C66400" w:rsidRPr="00C66400">
              <w:rPr>
                <w:rFonts w:ascii="宋体" w:eastAsia="宋体" w:hAnsi="宋体" w:hint="eastAsia"/>
                <w:sz w:val="24"/>
                <w:szCs w:val="28"/>
              </w:rPr>
              <w:t>应对周期及波动</w:t>
            </w:r>
            <w:r w:rsidRPr="002A4FBD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530C20" w:rsidRPr="00530C20">
              <w:rPr>
                <w:rFonts w:ascii="宋体" w:eastAsia="宋体" w:hAnsi="宋体" w:hint="eastAsia"/>
                <w:sz w:val="24"/>
                <w:szCs w:val="28"/>
              </w:rPr>
              <w:t>争取实现合理共担</w:t>
            </w:r>
            <w:r w:rsidRPr="002A4FBD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1315D94E" w14:textId="4244ACE8" w:rsidR="002A4FBD" w:rsidRPr="0077255F" w:rsidRDefault="000A7869" w:rsidP="0018318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  <w:szCs w:val="28"/>
              </w:rPr>
            </w:pPr>
            <w:r w:rsidRPr="000A7869">
              <w:rPr>
                <w:rFonts w:ascii="宋体" w:eastAsia="宋体" w:hAnsi="宋体" w:hint="eastAsia"/>
                <w:sz w:val="24"/>
                <w:szCs w:val="28"/>
              </w:rPr>
              <w:t>同时，公司将持续优化产品结构，重点布局高附加值、高技术壁垒的特种工程塑料、生物</w:t>
            </w:r>
            <w:proofErr w:type="gramStart"/>
            <w:r w:rsidRPr="000A7869">
              <w:rPr>
                <w:rFonts w:ascii="宋体" w:eastAsia="宋体" w:hAnsi="宋体" w:hint="eastAsia"/>
                <w:sz w:val="24"/>
                <w:szCs w:val="28"/>
              </w:rPr>
              <w:t>基材料</w:t>
            </w:r>
            <w:proofErr w:type="gramEnd"/>
            <w:r w:rsidRPr="000A7869">
              <w:rPr>
                <w:rFonts w:ascii="宋体" w:eastAsia="宋体" w:hAnsi="宋体" w:hint="eastAsia"/>
                <w:sz w:val="24"/>
                <w:szCs w:val="28"/>
              </w:rPr>
              <w:t>及再生塑料等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新材料</w:t>
            </w:r>
            <w:r w:rsidRPr="000A7869">
              <w:rPr>
                <w:rFonts w:ascii="宋体" w:eastAsia="宋体" w:hAnsi="宋体" w:hint="eastAsia"/>
                <w:sz w:val="24"/>
                <w:szCs w:val="28"/>
              </w:rPr>
              <w:t>；持续深化产业链全球化与一体化布局，降低经营对大宗商品及油价波动的依赖性，有效平抑周期波动对盈利水平的扰动，进一步增强经营韧性，稳固并提升公司整体盈利能力与抗风险能力。</w:t>
            </w:r>
          </w:p>
          <w:p w14:paraId="57BFE6AB" w14:textId="77777777" w:rsidR="00CF35E0" w:rsidRPr="00B76131" w:rsidRDefault="00CF35E0" w:rsidP="00CF35E0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01FBF6DB" w14:textId="18B653A0" w:rsidR="00D10FE9" w:rsidRPr="00D10FE9" w:rsidRDefault="00CF35E0" w:rsidP="00D10FE9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B76131"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="00D10FE9" w:rsidRPr="00D10FE9">
              <w:rPr>
                <w:rFonts w:hint="eastAsia"/>
                <w:bCs/>
                <w:sz w:val="24"/>
                <w:szCs w:val="28"/>
              </w:rPr>
              <w:t>公司</w:t>
            </w:r>
            <w:r w:rsidR="00C22AA4">
              <w:rPr>
                <w:rFonts w:hint="eastAsia"/>
                <w:bCs/>
                <w:sz w:val="24"/>
                <w:szCs w:val="28"/>
              </w:rPr>
              <w:t>对</w:t>
            </w:r>
            <w:r w:rsidR="00D10FE9" w:rsidRPr="00D10FE9">
              <w:rPr>
                <w:rFonts w:hint="eastAsia"/>
                <w:bCs/>
                <w:sz w:val="24"/>
                <w:szCs w:val="28"/>
              </w:rPr>
              <w:t>丙烷</w:t>
            </w:r>
            <w:r w:rsidR="00C22AA4">
              <w:rPr>
                <w:rFonts w:hint="eastAsia"/>
                <w:bCs/>
                <w:sz w:val="24"/>
                <w:szCs w:val="28"/>
              </w:rPr>
              <w:t>的采购</w:t>
            </w:r>
            <w:r w:rsidR="00D10FE9" w:rsidRPr="00D10FE9">
              <w:rPr>
                <w:rFonts w:hint="eastAsia"/>
                <w:bCs/>
                <w:sz w:val="24"/>
                <w:szCs w:val="28"/>
              </w:rPr>
              <w:t>来源中，来自中东的占比达到多少？当前的中东局势对公司的丙烷供应造成的影响？</w:t>
            </w:r>
          </w:p>
          <w:p w14:paraId="16BF9605" w14:textId="45260CD4" w:rsidR="00D10FE9" w:rsidRDefault="00CF35E0" w:rsidP="0018318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bCs/>
                <w:sz w:val="24"/>
                <w:szCs w:val="28"/>
              </w:rPr>
            </w:pP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答：</w:t>
            </w:r>
            <w:r w:rsidR="00D10FE9" w:rsidRPr="002A59FC">
              <w:rPr>
                <w:rFonts w:ascii="宋体" w:eastAsia="宋体" w:hAnsi="宋体" w:hint="eastAsia"/>
                <w:bCs/>
                <w:sz w:val="24"/>
                <w:szCs w:val="28"/>
              </w:rPr>
              <w:t>公司丙烷主要来源于美国，其次为中东及其他地区。</w:t>
            </w:r>
            <w:r w:rsidR="005F3242">
              <w:rPr>
                <w:rFonts w:ascii="宋体" w:eastAsia="宋体" w:hAnsi="宋体" w:hint="eastAsia"/>
                <w:bCs/>
                <w:sz w:val="24"/>
                <w:szCs w:val="28"/>
              </w:rPr>
              <w:t>在</w:t>
            </w:r>
            <w:r w:rsidR="00D10FE9">
              <w:rPr>
                <w:rFonts w:ascii="宋体" w:eastAsia="宋体" w:hAnsi="宋体" w:hint="eastAsia"/>
                <w:bCs/>
                <w:sz w:val="24"/>
                <w:szCs w:val="28"/>
              </w:rPr>
              <w:t>满产满</w:t>
            </w:r>
            <w:proofErr w:type="gramStart"/>
            <w:r w:rsidR="00D10FE9">
              <w:rPr>
                <w:rFonts w:ascii="宋体" w:eastAsia="宋体" w:hAnsi="宋体" w:hint="eastAsia"/>
                <w:bCs/>
                <w:sz w:val="24"/>
                <w:szCs w:val="28"/>
              </w:rPr>
              <w:t>销状态</w:t>
            </w:r>
            <w:proofErr w:type="gramEnd"/>
            <w:r w:rsidR="00D10FE9">
              <w:rPr>
                <w:rFonts w:ascii="宋体" w:eastAsia="宋体" w:hAnsi="宋体" w:hint="eastAsia"/>
                <w:bCs/>
                <w:sz w:val="24"/>
                <w:szCs w:val="28"/>
              </w:rPr>
              <w:t>下，</w:t>
            </w:r>
            <w:r w:rsidR="005F3242">
              <w:rPr>
                <w:rFonts w:ascii="宋体" w:eastAsia="宋体" w:hAnsi="宋体" w:hint="eastAsia"/>
                <w:bCs/>
                <w:sz w:val="24"/>
                <w:szCs w:val="28"/>
              </w:rPr>
              <w:t>公司</w:t>
            </w:r>
            <w:r w:rsidR="00D10FE9" w:rsidRPr="002A59FC">
              <w:rPr>
                <w:rFonts w:ascii="宋体" w:eastAsia="宋体" w:hAnsi="宋体"/>
                <w:bCs/>
                <w:sz w:val="24"/>
                <w:szCs w:val="28"/>
              </w:rPr>
              <w:t>PDH装置</w:t>
            </w:r>
            <w:r w:rsidR="00C66400">
              <w:rPr>
                <w:rFonts w:ascii="宋体" w:eastAsia="宋体" w:hAnsi="宋体" w:hint="eastAsia"/>
                <w:bCs/>
                <w:sz w:val="24"/>
                <w:szCs w:val="28"/>
              </w:rPr>
              <w:t>的丙烷原料</w:t>
            </w:r>
            <w:r w:rsidR="00D10FE9" w:rsidRPr="002A59FC">
              <w:rPr>
                <w:rFonts w:ascii="宋体" w:eastAsia="宋体" w:hAnsi="宋体"/>
                <w:bCs/>
                <w:sz w:val="24"/>
                <w:szCs w:val="28"/>
              </w:rPr>
              <w:t>年需求量约</w:t>
            </w:r>
            <w:r w:rsidR="00D10FE9" w:rsidRPr="00173A01">
              <w:rPr>
                <w:rFonts w:ascii="Times New Roman" w:eastAsia="宋体" w:hAnsi="Times New Roman"/>
                <w:bCs/>
                <w:sz w:val="24"/>
                <w:szCs w:val="28"/>
              </w:rPr>
              <w:t>210</w:t>
            </w:r>
            <w:r w:rsidR="00D10FE9" w:rsidRPr="002A59FC">
              <w:rPr>
                <w:rFonts w:ascii="宋体" w:eastAsia="宋体" w:hAnsi="宋体"/>
                <w:bCs/>
                <w:sz w:val="24"/>
                <w:szCs w:val="28"/>
              </w:rPr>
              <w:t>万吨。</w:t>
            </w:r>
            <w:r w:rsidR="005F3242" w:rsidRPr="005F3242">
              <w:rPr>
                <w:rFonts w:ascii="宋体" w:eastAsia="宋体" w:hAnsi="宋体" w:hint="eastAsia"/>
                <w:bCs/>
                <w:sz w:val="24"/>
                <w:szCs w:val="28"/>
              </w:rPr>
              <w:t>本轮中东地缘冲突发生后，公司快速优化采购结构，进一步提升美国货源占比，同步缩减中东采购规模，</w:t>
            </w:r>
            <w:r w:rsidR="00C66400" w:rsidRPr="00C66400">
              <w:rPr>
                <w:rFonts w:ascii="宋体" w:eastAsia="宋体" w:hAnsi="宋体" w:hint="eastAsia"/>
                <w:bCs/>
                <w:sz w:val="24"/>
                <w:szCs w:val="28"/>
              </w:rPr>
              <w:t>当前，宁波金发、</w:t>
            </w:r>
            <w:r w:rsidR="005F3242">
              <w:rPr>
                <w:rFonts w:ascii="宋体" w:eastAsia="宋体" w:hAnsi="宋体" w:hint="eastAsia"/>
                <w:bCs/>
                <w:sz w:val="24"/>
                <w:szCs w:val="28"/>
              </w:rPr>
              <w:t>辽宁金发</w:t>
            </w:r>
            <w:r w:rsidR="00B4722E">
              <w:rPr>
                <w:rFonts w:ascii="宋体" w:eastAsia="宋体" w:hAnsi="宋体" w:hint="eastAsia"/>
                <w:bCs/>
                <w:sz w:val="24"/>
                <w:szCs w:val="28"/>
              </w:rPr>
              <w:t>原料均稳定依托美国供应。同时，公司积极开拓澳大利亚、非洲</w:t>
            </w:r>
            <w:r w:rsidR="005F3242" w:rsidRPr="005F3242">
              <w:rPr>
                <w:rFonts w:ascii="宋体" w:eastAsia="宋体" w:hAnsi="宋体" w:hint="eastAsia"/>
                <w:bCs/>
                <w:sz w:val="24"/>
                <w:szCs w:val="28"/>
              </w:rPr>
              <w:t>等多元采购渠道，持续完善供应体系，强化原料保障能力。</w:t>
            </w:r>
          </w:p>
          <w:p w14:paraId="35012E3E" w14:textId="45F19BBB" w:rsidR="00104C77" w:rsidRPr="00104C77" w:rsidRDefault="00C433BE" w:rsidP="00183182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bCs/>
                <w:sz w:val="24"/>
                <w:szCs w:val="28"/>
              </w:rPr>
            </w:pPr>
            <w:r w:rsidRPr="00C433BE">
              <w:rPr>
                <w:rFonts w:ascii="宋体" w:eastAsia="宋体" w:hAnsi="宋体" w:hint="eastAsia"/>
                <w:bCs/>
                <w:sz w:val="24"/>
                <w:szCs w:val="28"/>
              </w:rPr>
              <w:t>受局势影响，丙烷价格大幅上行，原料供应阶段性承压。公司强化产销协同，深化与核心供应商合作，稳定原料供给，并合理传导成本压力。</w:t>
            </w:r>
            <w:r w:rsidR="00D52978" w:rsidRPr="00D52978">
              <w:rPr>
                <w:rFonts w:ascii="宋体" w:eastAsia="宋体" w:hAnsi="宋体" w:hint="eastAsia"/>
                <w:bCs/>
                <w:sz w:val="24"/>
                <w:szCs w:val="28"/>
              </w:rPr>
              <w:t>此外，公司加快聚合</w:t>
            </w:r>
            <w:r w:rsidR="001E0977">
              <w:rPr>
                <w:rFonts w:ascii="宋体" w:eastAsia="宋体" w:hAnsi="宋体" w:hint="eastAsia"/>
                <w:bCs/>
                <w:sz w:val="24"/>
                <w:szCs w:val="28"/>
              </w:rPr>
              <w:t>-</w:t>
            </w:r>
            <w:r w:rsidR="00D52978" w:rsidRPr="00D52978">
              <w:rPr>
                <w:rFonts w:ascii="宋体" w:eastAsia="宋体" w:hAnsi="宋体" w:hint="eastAsia"/>
                <w:bCs/>
                <w:sz w:val="24"/>
                <w:szCs w:val="28"/>
              </w:rPr>
              <w:t>改性一体化产能布局落地，加大高附加值产品研发及产业化力度，持续优化产品结构，有效对</w:t>
            </w:r>
            <w:proofErr w:type="gramStart"/>
            <w:r w:rsidR="00D52978" w:rsidRPr="00D52978">
              <w:rPr>
                <w:rFonts w:ascii="宋体" w:eastAsia="宋体" w:hAnsi="宋体" w:hint="eastAsia"/>
                <w:bCs/>
                <w:sz w:val="24"/>
                <w:szCs w:val="28"/>
              </w:rPr>
              <w:t>冲原料</w:t>
            </w:r>
            <w:proofErr w:type="gramEnd"/>
            <w:r w:rsidR="00D52978" w:rsidRPr="00D52978">
              <w:rPr>
                <w:rFonts w:ascii="宋体" w:eastAsia="宋体" w:hAnsi="宋体" w:hint="eastAsia"/>
                <w:bCs/>
                <w:sz w:val="24"/>
                <w:szCs w:val="28"/>
              </w:rPr>
              <w:t>周期波动对毛利的扰动，稳步提升经营韧性与盈利稳定性。</w:t>
            </w:r>
          </w:p>
          <w:p w14:paraId="1E7D23D7" w14:textId="77777777" w:rsidR="00CF35E0" w:rsidRPr="00B76131" w:rsidRDefault="00CF35E0" w:rsidP="00CF35E0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41D4BCE2" w14:textId="537A79FA" w:rsidR="00CF35E0" w:rsidRPr="00B76131" w:rsidRDefault="00CF35E0" w:rsidP="00CF35E0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B76131"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公司</w:t>
            </w:r>
            <w:r w:rsidR="00104C7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改性塑料业务</w:t>
            </w:r>
            <w:r w:rsidR="00933D6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业绩</w:t>
            </w:r>
            <w:r w:rsidR="00104C7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的</w:t>
            </w:r>
            <w:r w:rsidR="007D475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持续能力如何</w:t>
            </w:r>
            <w:r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？</w:t>
            </w:r>
          </w:p>
          <w:p w14:paraId="13A0EBDE" w14:textId="77777777" w:rsidR="00357D26" w:rsidRDefault="00CF35E0">
            <w:pPr>
              <w:pStyle w:val="ad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</w:rPr>
            </w:pPr>
            <w:r w:rsidRPr="00B76131">
              <w:rPr>
                <w:rFonts w:ascii="Times New Roman" w:eastAsiaTheme="minorEastAsia" w:hAnsi="Times New Roman" w:cs="Times New Roman"/>
                <w:sz w:val="24"/>
              </w:rPr>
              <w:t>答：</w:t>
            </w:r>
            <w:r w:rsidR="00B9485F">
              <w:rPr>
                <w:rFonts w:ascii="宋体" w:hAnsi="宋体" w:hint="eastAsia"/>
                <w:sz w:val="24"/>
              </w:rPr>
              <w:t>公司改性塑料业务发展根基稳固，叠加优势</w:t>
            </w:r>
            <w:r w:rsidR="0030709D" w:rsidRPr="0030709D">
              <w:rPr>
                <w:rFonts w:ascii="宋体" w:hAnsi="宋体" w:hint="eastAsia"/>
                <w:sz w:val="24"/>
              </w:rPr>
              <w:t>领域稳步扩容、新兴赛道快速放量，具备长期稳健增长动能，业绩可持续性较强。下游应用层面，汽车、家电、电子电工为公司三大核心根基领域，需求基本面扎实。</w:t>
            </w:r>
          </w:p>
          <w:p w14:paraId="1117A11C" w14:textId="1E613E54" w:rsidR="00CF35E0" w:rsidRDefault="0030709D">
            <w:pPr>
              <w:pStyle w:val="ad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</w:rPr>
            </w:pPr>
            <w:r w:rsidRPr="0030709D">
              <w:rPr>
                <w:rFonts w:ascii="宋体" w:hAnsi="宋体" w:hint="eastAsia"/>
                <w:sz w:val="24"/>
              </w:rPr>
              <w:t>汽车领域，全球新能源汽车替代传统燃油车的长期趋势明确，海外市场增长空间广阔。公司依托全球化布局，紧跟</w:t>
            </w:r>
            <w:proofErr w:type="gramStart"/>
            <w:r w:rsidRPr="0030709D">
              <w:rPr>
                <w:rFonts w:ascii="宋体" w:hAnsi="宋体" w:hint="eastAsia"/>
                <w:sz w:val="24"/>
              </w:rPr>
              <w:t>国内车企出海</w:t>
            </w:r>
            <w:proofErr w:type="gramEnd"/>
            <w:r w:rsidRPr="0030709D">
              <w:rPr>
                <w:rFonts w:ascii="宋体" w:hAnsi="宋体" w:hint="eastAsia"/>
                <w:sz w:val="24"/>
              </w:rPr>
              <w:t>节奏，同步配套供货，持续提升</w:t>
            </w:r>
            <w:proofErr w:type="gramStart"/>
            <w:r w:rsidRPr="0030709D">
              <w:rPr>
                <w:rFonts w:ascii="宋体" w:hAnsi="宋体" w:hint="eastAsia"/>
                <w:sz w:val="24"/>
              </w:rPr>
              <w:t>海外营</w:t>
            </w:r>
            <w:proofErr w:type="gramEnd"/>
            <w:r w:rsidRPr="0030709D">
              <w:rPr>
                <w:rFonts w:ascii="宋体" w:hAnsi="宋体" w:hint="eastAsia"/>
                <w:sz w:val="24"/>
              </w:rPr>
              <w:t>收占比；家电领域，公司已打通</w:t>
            </w:r>
            <w:r w:rsidRPr="0030709D">
              <w:rPr>
                <w:rFonts w:ascii="宋体" w:hAnsi="宋体"/>
                <w:sz w:val="24"/>
              </w:rPr>
              <w:t>PP、</w:t>
            </w:r>
            <w:r w:rsidR="00A67CE2">
              <w:rPr>
                <w:rFonts w:ascii="宋体" w:hAnsi="宋体"/>
                <w:sz w:val="24"/>
              </w:rPr>
              <w:t>ABS</w:t>
            </w:r>
            <w:r w:rsidRPr="0030709D">
              <w:rPr>
                <w:rFonts w:ascii="宋体" w:hAnsi="宋体"/>
                <w:sz w:val="24"/>
              </w:rPr>
              <w:t>完整产业链，依托宁波、辽宁两地</w:t>
            </w:r>
            <w:r w:rsidR="00735713">
              <w:rPr>
                <w:rFonts w:ascii="宋体" w:hAnsi="宋体" w:hint="eastAsia"/>
                <w:sz w:val="24"/>
              </w:rPr>
              <w:t>聚合-改性</w:t>
            </w:r>
            <w:r w:rsidR="00735713">
              <w:rPr>
                <w:rFonts w:ascii="宋体" w:hAnsi="宋体"/>
                <w:sz w:val="24"/>
              </w:rPr>
              <w:t>一体化产能布局，</w:t>
            </w:r>
            <w:r w:rsidRPr="0030709D">
              <w:rPr>
                <w:rFonts w:ascii="宋体" w:hAnsi="宋体"/>
                <w:sz w:val="24"/>
              </w:rPr>
              <w:t>强化家电材料综合配套能力；电子电工作为</w:t>
            </w:r>
            <w:r w:rsidR="00C66400">
              <w:rPr>
                <w:rFonts w:ascii="宋体" w:hAnsi="宋体" w:hint="eastAsia"/>
                <w:sz w:val="24"/>
              </w:rPr>
              <w:t>工程塑料的</w:t>
            </w:r>
            <w:proofErr w:type="gramStart"/>
            <w:r w:rsidRPr="0030709D">
              <w:rPr>
                <w:rFonts w:ascii="宋体" w:hAnsi="宋体"/>
                <w:sz w:val="24"/>
              </w:rPr>
              <w:t>核心刚需赛道</w:t>
            </w:r>
            <w:proofErr w:type="gramEnd"/>
            <w:r w:rsidRPr="0030709D">
              <w:rPr>
                <w:rFonts w:ascii="宋体" w:hAnsi="宋体"/>
                <w:sz w:val="24"/>
              </w:rPr>
              <w:t>，产品应用场景持续拓宽，夯实传统业</w:t>
            </w:r>
            <w:r w:rsidRPr="0030709D">
              <w:rPr>
                <w:rFonts w:ascii="宋体" w:hAnsi="宋体" w:hint="eastAsia"/>
                <w:sz w:val="24"/>
              </w:rPr>
              <w:t>务基本盘。同时，公司积极抢抓</w:t>
            </w:r>
            <w:r w:rsidR="00A67CE2">
              <w:rPr>
                <w:rFonts w:ascii="宋体" w:hAnsi="宋体"/>
                <w:sz w:val="24"/>
              </w:rPr>
              <w:t>AI</w:t>
            </w:r>
            <w:r w:rsidR="001121B7">
              <w:rPr>
                <w:rFonts w:ascii="宋体" w:hAnsi="宋体"/>
                <w:sz w:val="24"/>
              </w:rPr>
              <w:t>算力、</w:t>
            </w:r>
            <w:proofErr w:type="gramStart"/>
            <w:r w:rsidR="001121B7">
              <w:rPr>
                <w:rFonts w:ascii="宋体" w:hAnsi="宋体"/>
                <w:sz w:val="24"/>
              </w:rPr>
              <w:t>具身机器人</w:t>
            </w:r>
            <w:proofErr w:type="gramEnd"/>
            <w:r w:rsidR="001121B7">
              <w:rPr>
                <w:rFonts w:ascii="宋体" w:hAnsi="宋体"/>
                <w:sz w:val="24"/>
              </w:rPr>
              <w:t>等新兴产业发展机遇，</w:t>
            </w:r>
            <w:r w:rsidR="00DF655C">
              <w:rPr>
                <w:rFonts w:ascii="宋体" w:hAnsi="宋体" w:hint="eastAsia"/>
                <w:sz w:val="24"/>
              </w:rPr>
              <w:t>针对性研发适配的新材料</w:t>
            </w:r>
            <w:r w:rsidR="001E0977" w:rsidRPr="001E0977">
              <w:rPr>
                <w:rFonts w:ascii="宋体" w:hAnsi="宋体" w:hint="eastAsia"/>
                <w:sz w:val="24"/>
              </w:rPr>
              <w:t>整体解决方案，积极布局前沿领域，培育全新增长曲线</w:t>
            </w:r>
            <w:r w:rsidR="00DF655C">
              <w:rPr>
                <w:rFonts w:ascii="宋体" w:hAnsi="宋体" w:hint="eastAsia"/>
                <w:sz w:val="24"/>
              </w:rPr>
              <w:t>（</w:t>
            </w:r>
            <w:r w:rsidR="00DF655C" w:rsidRPr="00DF655C">
              <w:rPr>
                <w:rFonts w:ascii="宋体" w:hAnsi="宋体" w:hint="eastAsia"/>
                <w:sz w:val="24"/>
              </w:rPr>
              <w:t>目前相关业务仍处于前期拓展与市场培育阶段，整体营收占比相对有限，未来</w:t>
            </w:r>
            <w:r w:rsidR="00C66400">
              <w:rPr>
                <w:rFonts w:ascii="宋体" w:hAnsi="宋体" w:hint="eastAsia"/>
                <w:sz w:val="24"/>
              </w:rPr>
              <w:t>或</w:t>
            </w:r>
            <w:r w:rsidR="00DF655C" w:rsidRPr="00DF655C">
              <w:rPr>
                <w:rFonts w:ascii="宋体" w:hAnsi="宋体" w:hint="eastAsia"/>
                <w:sz w:val="24"/>
              </w:rPr>
              <w:t>将伴随行业发展逐</w:t>
            </w:r>
            <w:r w:rsidR="00DF655C">
              <w:rPr>
                <w:rFonts w:ascii="宋体" w:hAnsi="宋体" w:hint="eastAsia"/>
                <w:sz w:val="24"/>
              </w:rPr>
              <w:t>步释放增量）</w:t>
            </w:r>
            <w:r w:rsidRPr="0030709D">
              <w:rPr>
                <w:rFonts w:ascii="宋体" w:hAnsi="宋体"/>
                <w:sz w:val="24"/>
              </w:rPr>
              <w:t>。</w:t>
            </w:r>
          </w:p>
          <w:p w14:paraId="3FADEAB2" w14:textId="6F408CFD" w:rsidR="00AD0248" w:rsidRPr="00116DEB" w:rsidRDefault="00DF655C" w:rsidP="00116DEB">
            <w:pPr>
              <w:pStyle w:val="ad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</w:rPr>
            </w:pPr>
            <w:r w:rsidRPr="00DF655C">
              <w:rPr>
                <w:rFonts w:ascii="宋体" w:hAnsi="宋体" w:hint="eastAsia"/>
                <w:sz w:val="24"/>
              </w:rPr>
              <w:t>核心竞争层面，公司是全球规模领先、产品品类</w:t>
            </w:r>
            <w:r>
              <w:rPr>
                <w:rFonts w:ascii="宋体" w:hAnsi="宋体" w:hint="eastAsia"/>
                <w:sz w:val="24"/>
              </w:rPr>
              <w:t>最为齐全的改性塑料龙头企业，依托领先产能、全球化产销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布局、</w:t>
            </w:r>
            <w:r w:rsidRPr="00DF655C">
              <w:rPr>
                <w:rFonts w:ascii="宋体" w:hAnsi="宋体" w:hint="eastAsia"/>
                <w:sz w:val="24"/>
              </w:rPr>
              <w:t>上下游一体化产</w:t>
            </w:r>
            <w:r w:rsidRPr="00DF655C">
              <w:rPr>
                <w:rFonts w:ascii="宋体" w:hAnsi="宋体" w:hint="eastAsia"/>
                <w:sz w:val="24"/>
              </w:rPr>
              <w:lastRenderedPageBreak/>
              <w:t>业</w:t>
            </w:r>
            <w:r>
              <w:rPr>
                <w:rFonts w:ascii="宋体" w:hAnsi="宋体" w:hint="eastAsia"/>
                <w:sz w:val="24"/>
              </w:rPr>
              <w:t>链及深厚技术积淀、规模化成本优势，构建高壁垒核心竞争体系。凭借上下游</w:t>
            </w:r>
            <w:r w:rsidRPr="00DF655C">
              <w:rPr>
                <w:rFonts w:ascii="宋体" w:hAnsi="宋体" w:hint="eastAsia"/>
                <w:sz w:val="24"/>
              </w:rPr>
              <w:t>产业链协同优势，公司持续筑牢供应</w:t>
            </w:r>
            <w:proofErr w:type="gramStart"/>
            <w:r w:rsidRPr="00DF655C">
              <w:rPr>
                <w:rFonts w:ascii="宋体" w:hAnsi="宋体" w:hint="eastAsia"/>
                <w:sz w:val="24"/>
              </w:rPr>
              <w:t>链安全</w:t>
            </w:r>
            <w:proofErr w:type="gramEnd"/>
            <w:r w:rsidRPr="00DF655C">
              <w:rPr>
                <w:rFonts w:ascii="宋体" w:hAnsi="宋体" w:hint="eastAsia"/>
                <w:sz w:val="24"/>
              </w:rPr>
              <w:t>防线，保障原料稳定供应；同时以材料整体解决方案为抓手，不断提升综合服务能</w:t>
            </w:r>
            <w:r>
              <w:rPr>
                <w:rFonts w:ascii="宋体" w:hAnsi="宋体" w:hint="eastAsia"/>
                <w:sz w:val="24"/>
              </w:rPr>
              <w:t>力，为业务中长期稳健发展夯实基础</w:t>
            </w:r>
            <w:r w:rsidR="00AD0248" w:rsidRPr="00AD0248">
              <w:rPr>
                <w:rFonts w:ascii="宋体" w:hAnsi="宋体" w:hint="eastAsia"/>
                <w:sz w:val="24"/>
              </w:rPr>
              <w:t>。</w:t>
            </w:r>
          </w:p>
          <w:p w14:paraId="528C6F03" w14:textId="77777777" w:rsidR="00CF35E0" w:rsidRPr="00B76131" w:rsidRDefault="00CF35E0" w:rsidP="00CF35E0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708B96A3" w14:textId="0DC2BA58" w:rsidR="00CF35E0" w:rsidRPr="00B76131" w:rsidRDefault="00CF35E0" w:rsidP="00CF35E0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B76131"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r w:rsidR="00075829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特种工程塑料当前的产能建设情况如何？</w:t>
            </w:r>
          </w:p>
          <w:p w14:paraId="015005B9" w14:textId="04B44682" w:rsidR="00CF35E0" w:rsidRPr="00075829" w:rsidRDefault="00CF35E0" w:rsidP="00075829">
            <w:pPr>
              <w:pStyle w:val="ad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</w:rPr>
            </w:pPr>
            <w:r w:rsidRPr="00B76131">
              <w:rPr>
                <w:rFonts w:ascii="Times New Roman" w:eastAsiaTheme="minorEastAsia" w:hAnsi="Times New Roman" w:cs="Times New Roman"/>
                <w:sz w:val="24"/>
              </w:rPr>
              <w:t>答：</w:t>
            </w:r>
            <w:r w:rsidR="002350D9" w:rsidRPr="002350D9">
              <w:rPr>
                <w:rFonts w:ascii="宋体" w:hAnsi="宋体" w:hint="eastAsia"/>
                <w:sz w:val="24"/>
              </w:rPr>
              <w:t>公司已形成年产</w:t>
            </w:r>
            <w:r w:rsidR="002350D9" w:rsidRPr="00173A01">
              <w:rPr>
                <w:rFonts w:ascii="Times New Roman" w:hAnsi="Times New Roman"/>
                <w:sz w:val="24"/>
              </w:rPr>
              <w:t>3</w:t>
            </w:r>
            <w:r w:rsidR="002350D9" w:rsidRPr="002350D9">
              <w:rPr>
                <w:rFonts w:ascii="宋体" w:hAnsi="宋体"/>
                <w:sz w:val="24"/>
              </w:rPr>
              <w:t>.</w:t>
            </w:r>
            <w:r w:rsidR="002350D9" w:rsidRPr="00173A01">
              <w:rPr>
                <w:rFonts w:ascii="Times New Roman" w:hAnsi="Times New Roman"/>
                <w:sz w:val="24"/>
              </w:rPr>
              <w:t>9</w:t>
            </w:r>
            <w:r w:rsidR="002350D9" w:rsidRPr="002350D9">
              <w:rPr>
                <w:rFonts w:ascii="宋体" w:hAnsi="宋体"/>
                <w:sz w:val="24"/>
              </w:rPr>
              <w:t>万吨半芳香聚酰胺、LCP和聚芳醚</w:t>
            </w:r>
            <w:proofErr w:type="gramStart"/>
            <w:r w:rsidR="002350D9" w:rsidRPr="002350D9">
              <w:rPr>
                <w:rFonts w:ascii="宋体" w:hAnsi="宋体"/>
                <w:sz w:val="24"/>
              </w:rPr>
              <w:t>砜</w:t>
            </w:r>
            <w:proofErr w:type="gramEnd"/>
            <w:r w:rsidR="002350D9" w:rsidRPr="002350D9">
              <w:rPr>
                <w:rFonts w:ascii="宋体" w:hAnsi="宋体"/>
                <w:sz w:val="24"/>
              </w:rPr>
              <w:t>合成树脂产能，规划新建年产</w:t>
            </w:r>
            <w:r w:rsidR="002350D9" w:rsidRPr="00173A01">
              <w:rPr>
                <w:rFonts w:ascii="Times New Roman" w:hAnsi="Times New Roman"/>
                <w:sz w:val="24"/>
              </w:rPr>
              <w:t>1</w:t>
            </w:r>
            <w:r w:rsidR="002350D9" w:rsidRPr="002350D9">
              <w:rPr>
                <w:rFonts w:ascii="宋体" w:hAnsi="宋体"/>
                <w:sz w:val="24"/>
              </w:rPr>
              <w:t>万吨LCP、年产</w:t>
            </w:r>
            <w:r w:rsidR="002350D9" w:rsidRPr="00173A01">
              <w:rPr>
                <w:rFonts w:ascii="Times New Roman" w:hAnsi="Times New Roman"/>
                <w:sz w:val="24"/>
              </w:rPr>
              <w:t>1</w:t>
            </w:r>
            <w:r w:rsidR="002350D9" w:rsidRPr="002350D9">
              <w:rPr>
                <w:rFonts w:ascii="宋体" w:hAnsi="宋体"/>
                <w:sz w:val="24"/>
              </w:rPr>
              <w:t>万吨耐高温半芳香聚酰胺和年产</w:t>
            </w:r>
            <w:r w:rsidR="002350D9" w:rsidRPr="00173A01">
              <w:rPr>
                <w:rFonts w:ascii="Times New Roman" w:hAnsi="Times New Roman"/>
                <w:sz w:val="24"/>
              </w:rPr>
              <w:t>0</w:t>
            </w:r>
            <w:r w:rsidR="002350D9" w:rsidRPr="002350D9">
              <w:rPr>
                <w:rFonts w:ascii="宋体" w:hAnsi="宋体"/>
                <w:sz w:val="24"/>
              </w:rPr>
              <w:t>.</w:t>
            </w:r>
            <w:r w:rsidR="002350D9" w:rsidRPr="00173A01">
              <w:rPr>
                <w:rFonts w:ascii="Times New Roman" w:hAnsi="Times New Roman"/>
                <w:sz w:val="24"/>
              </w:rPr>
              <w:t>6</w:t>
            </w:r>
            <w:r w:rsidR="002350D9" w:rsidRPr="002350D9">
              <w:rPr>
                <w:rFonts w:ascii="宋体" w:hAnsi="宋体"/>
                <w:sz w:val="24"/>
              </w:rPr>
              <w:t>万吨热塑性聚酰亚胺产业化装置，计划于</w:t>
            </w:r>
            <w:r w:rsidR="002350D9" w:rsidRPr="00173A01">
              <w:rPr>
                <w:rFonts w:ascii="Times New Roman" w:hAnsi="Times New Roman"/>
                <w:sz w:val="24"/>
              </w:rPr>
              <w:t>2027</w:t>
            </w:r>
            <w:r w:rsidR="002350D9" w:rsidRPr="002350D9">
              <w:rPr>
                <w:rFonts w:ascii="宋体" w:hAnsi="宋体"/>
                <w:sz w:val="24"/>
              </w:rPr>
              <w:t>年第一季度起陆续投产；年产</w:t>
            </w:r>
            <w:bookmarkStart w:id="0" w:name="_GoBack"/>
            <w:bookmarkEnd w:id="0"/>
            <w:r w:rsidR="002350D9" w:rsidRPr="00173A01">
              <w:rPr>
                <w:rFonts w:ascii="Times New Roman" w:hAnsi="Times New Roman"/>
                <w:sz w:val="24"/>
              </w:rPr>
              <w:t>0</w:t>
            </w:r>
            <w:r w:rsidR="002350D9" w:rsidRPr="002350D9">
              <w:rPr>
                <w:rFonts w:ascii="宋体" w:hAnsi="宋体"/>
                <w:sz w:val="24"/>
              </w:rPr>
              <w:t>.</w:t>
            </w:r>
            <w:r w:rsidR="002350D9" w:rsidRPr="00173A01">
              <w:rPr>
                <w:rFonts w:ascii="Times New Roman" w:hAnsi="Times New Roman"/>
                <w:sz w:val="24"/>
              </w:rPr>
              <w:t>8</w:t>
            </w:r>
            <w:r w:rsidR="003E44E0">
              <w:rPr>
                <w:rFonts w:ascii="宋体" w:hAnsi="宋体"/>
                <w:sz w:val="24"/>
              </w:rPr>
              <w:t>万吨透明聚酰胺等特种聚酰胺项目正推进</w:t>
            </w:r>
            <w:r w:rsidR="003E44E0">
              <w:rPr>
                <w:rFonts w:ascii="宋体" w:hAnsi="宋体" w:hint="eastAsia"/>
                <w:sz w:val="24"/>
              </w:rPr>
              <w:t>建设中</w:t>
            </w:r>
            <w:r w:rsidR="002350D9" w:rsidRPr="002350D9">
              <w:rPr>
                <w:rFonts w:ascii="宋体" w:hAnsi="宋体"/>
                <w:sz w:val="24"/>
              </w:rPr>
              <w:t>，计划</w:t>
            </w:r>
            <w:r w:rsidR="002350D9" w:rsidRPr="00173A01">
              <w:rPr>
                <w:rFonts w:ascii="Times New Roman" w:hAnsi="Times New Roman"/>
                <w:sz w:val="24"/>
              </w:rPr>
              <w:t>2026</w:t>
            </w:r>
            <w:r w:rsidR="002350D9" w:rsidRPr="002350D9">
              <w:rPr>
                <w:rFonts w:ascii="宋体" w:hAnsi="宋体"/>
                <w:sz w:val="24"/>
              </w:rPr>
              <w:t>年第二季度投产。</w:t>
            </w:r>
          </w:p>
          <w:p w14:paraId="50DDE93C" w14:textId="77777777" w:rsidR="00104C77" w:rsidRPr="00B76131" w:rsidRDefault="00104C77" w:rsidP="00104C77">
            <w:pPr>
              <w:pStyle w:val="TableParagraph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1DFD54DF" w14:textId="1583E173" w:rsidR="001D581B" w:rsidRDefault="001D581B" w:rsidP="00CF35E0">
            <w:pPr>
              <w:pStyle w:val="TableParagraph"/>
              <w:ind w:firstLine="482"/>
              <w:rPr>
                <w:rFonts w:cstheme="minorBidi"/>
                <w:bCs/>
                <w:sz w:val="24"/>
                <w:szCs w:val="24"/>
                <w14:ligatures w14:val="standardContextual"/>
              </w:rPr>
            </w:pPr>
            <w:r w:rsidRPr="00173A01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CF35E0" w:rsidRPr="00B76131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  <w:bookmarkStart w:id="1" w:name="_Toc227338875"/>
            <w:r w:rsidRPr="009342F6">
              <w:rPr>
                <w:rFonts w:cstheme="minorBidi" w:hint="eastAsia"/>
                <w:bCs/>
                <w:sz w:val="24"/>
                <w:szCs w:val="24"/>
                <w14:ligatures w14:val="standardContextual"/>
              </w:rPr>
              <w:t>公司生物基丁二酸、生物基BDO的产能利用率？与石油基相比，下游客户接受度如何？</w:t>
            </w:r>
            <w:bookmarkEnd w:id="1"/>
          </w:p>
          <w:p w14:paraId="4EBF0A14" w14:textId="5E13CF14" w:rsidR="009867E6" w:rsidRPr="009867E6" w:rsidRDefault="001D581B" w:rsidP="00F42D68">
            <w:pPr>
              <w:pStyle w:val="ad"/>
              <w:spacing w:line="360" w:lineRule="auto"/>
              <w:ind w:firstLineChars="200" w:firstLine="48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="00CA0B2B" w:rsidRPr="009E630A">
              <w:rPr>
                <w:rFonts w:ascii="宋体" w:hAnsi="宋体"/>
                <w:sz w:val="24"/>
              </w:rPr>
              <w:t>当前公司拥有</w:t>
            </w:r>
            <w:r w:rsidR="00CA0B2B" w:rsidRPr="00173A01">
              <w:rPr>
                <w:rFonts w:ascii="Times New Roman" w:hAnsi="Times New Roman"/>
                <w:sz w:val="24"/>
              </w:rPr>
              <w:t>5</w:t>
            </w:r>
            <w:r w:rsidR="00CA0B2B" w:rsidRPr="009E630A">
              <w:rPr>
                <w:rFonts w:ascii="宋体" w:hAnsi="宋体"/>
                <w:sz w:val="24"/>
              </w:rPr>
              <w:t>万吨生物基丁二酸、</w:t>
            </w:r>
            <w:r w:rsidR="00CA0B2B" w:rsidRPr="00173A01">
              <w:rPr>
                <w:rFonts w:ascii="Times New Roman" w:hAnsi="Times New Roman"/>
                <w:sz w:val="24"/>
              </w:rPr>
              <w:t>1</w:t>
            </w:r>
            <w:r w:rsidR="00CA0B2B" w:rsidRPr="009E630A">
              <w:rPr>
                <w:rFonts w:ascii="宋体" w:hAnsi="宋体"/>
                <w:sz w:val="24"/>
              </w:rPr>
              <w:t>万吨生物基BDO产能，产能利用率仍然处于爬坡阶段。对于下游客户的接受度，从性能角度看，生物基丁二酸、BDO与石油</w:t>
            </w:r>
            <w:proofErr w:type="gramStart"/>
            <w:r w:rsidR="00CA0B2B" w:rsidRPr="009E630A">
              <w:rPr>
                <w:rFonts w:ascii="宋体" w:hAnsi="宋体"/>
                <w:sz w:val="24"/>
              </w:rPr>
              <w:t>基</w:t>
            </w:r>
            <w:r w:rsidR="00FC2EFE">
              <w:rPr>
                <w:rFonts w:ascii="宋体" w:hAnsi="宋体" w:hint="eastAsia"/>
                <w:sz w:val="24"/>
              </w:rPr>
              <w:t>产品</w:t>
            </w:r>
            <w:proofErr w:type="gramEnd"/>
            <w:r w:rsidR="00F42D68">
              <w:rPr>
                <w:rFonts w:ascii="宋体" w:hAnsi="宋体" w:hint="eastAsia"/>
                <w:sz w:val="24"/>
              </w:rPr>
              <w:t>基本一致</w:t>
            </w:r>
            <w:r w:rsidR="00CA0B2B" w:rsidRPr="009E630A">
              <w:rPr>
                <w:rFonts w:ascii="宋体" w:hAnsi="宋体"/>
                <w:sz w:val="24"/>
              </w:rPr>
              <w:t>；</w:t>
            </w:r>
            <w:r w:rsidR="00F42D68">
              <w:rPr>
                <w:rFonts w:ascii="宋体" w:hAnsi="宋体" w:hint="eastAsia"/>
                <w:sz w:val="24"/>
              </w:rPr>
              <w:t>成本端来看，国际油价上涨后，生物基丁二</w:t>
            </w:r>
            <w:proofErr w:type="gramStart"/>
            <w:r w:rsidR="00F42D68">
              <w:rPr>
                <w:rFonts w:ascii="宋体" w:hAnsi="宋体" w:hint="eastAsia"/>
                <w:sz w:val="24"/>
              </w:rPr>
              <w:t>酸成本</w:t>
            </w:r>
            <w:proofErr w:type="gramEnd"/>
            <w:r w:rsidR="00F42D68">
              <w:rPr>
                <w:rFonts w:ascii="宋体" w:hAnsi="宋体" w:hint="eastAsia"/>
                <w:sz w:val="24"/>
              </w:rPr>
              <w:t>优势明显</w:t>
            </w:r>
            <w:r w:rsidR="00F42D68" w:rsidRPr="00F42D68">
              <w:rPr>
                <w:rFonts w:ascii="宋体" w:hAnsi="宋体" w:hint="eastAsia"/>
                <w:sz w:val="24"/>
              </w:rPr>
              <w:t>，相较石油</w:t>
            </w:r>
            <w:proofErr w:type="gramStart"/>
            <w:r w:rsidR="00F42D68" w:rsidRPr="00F42D68">
              <w:rPr>
                <w:rFonts w:ascii="宋体" w:hAnsi="宋体" w:hint="eastAsia"/>
                <w:sz w:val="24"/>
              </w:rPr>
              <w:t>基产品</w:t>
            </w:r>
            <w:proofErr w:type="gramEnd"/>
            <w:r w:rsidR="00F42D68" w:rsidRPr="00F42D68">
              <w:rPr>
                <w:rFonts w:ascii="宋体" w:hAnsi="宋体" w:hint="eastAsia"/>
                <w:sz w:val="24"/>
              </w:rPr>
              <w:t>竞争力大幅提升</w:t>
            </w:r>
            <w:r w:rsidR="00CA0B2B" w:rsidRPr="009E630A">
              <w:rPr>
                <w:rFonts w:ascii="宋体" w:hAnsi="宋体"/>
                <w:sz w:val="24"/>
              </w:rPr>
              <w:t>；</w:t>
            </w:r>
            <w:r w:rsidR="00F42D68" w:rsidRPr="00F42D68">
              <w:rPr>
                <w:rFonts w:ascii="宋体" w:hAnsi="宋体" w:hint="eastAsia"/>
                <w:sz w:val="24"/>
              </w:rPr>
              <w:t>生物基</w:t>
            </w:r>
            <w:r w:rsidR="00D3615E">
              <w:rPr>
                <w:rFonts w:ascii="宋体" w:hAnsi="宋体"/>
                <w:sz w:val="24"/>
              </w:rPr>
              <w:t>BDO</w:t>
            </w:r>
            <w:r w:rsidR="00F42D68" w:rsidRPr="00F42D68">
              <w:rPr>
                <w:rFonts w:ascii="宋体" w:hAnsi="宋体"/>
                <w:sz w:val="24"/>
              </w:rPr>
              <w:t>当前售价仍高于石油基同类产品</w:t>
            </w:r>
            <w:r w:rsidR="00F42D68">
              <w:rPr>
                <w:rFonts w:ascii="宋体" w:hAnsi="宋体" w:hint="eastAsia"/>
                <w:sz w:val="24"/>
              </w:rPr>
              <w:t>，</w:t>
            </w:r>
            <w:r w:rsidR="00FC2EFE" w:rsidRPr="00FC2EFE">
              <w:rPr>
                <w:rFonts w:ascii="宋体" w:hAnsi="宋体" w:hint="eastAsia"/>
                <w:sz w:val="24"/>
              </w:rPr>
              <w:t>主要适配欧洲等具备生物含量强制要求的海外客户，定向满足区域低碳合</w:t>
            </w:r>
            <w:proofErr w:type="gramStart"/>
            <w:r w:rsidR="00FC2EFE" w:rsidRPr="00FC2EFE">
              <w:rPr>
                <w:rFonts w:ascii="宋体" w:hAnsi="宋体" w:hint="eastAsia"/>
                <w:sz w:val="24"/>
              </w:rPr>
              <w:t>规</w:t>
            </w:r>
            <w:proofErr w:type="gramEnd"/>
            <w:r w:rsidR="00FC2EFE" w:rsidRPr="00FC2EFE">
              <w:rPr>
                <w:rFonts w:ascii="宋体" w:hAnsi="宋体" w:hint="eastAsia"/>
                <w:sz w:val="24"/>
              </w:rPr>
              <w:t>需求</w:t>
            </w:r>
            <w:r w:rsidRPr="001B11E9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FF558D" w14:paraId="44B688F4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20F32F41" w14:textId="77777777" w:rsidR="00FF558D" w:rsidRDefault="005134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15799D44" w14:textId="77777777" w:rsidR="00FF558D" w:rsidRDefault="0051340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参与交流的机构及人员（排名不分先后）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1008"/>
              <w:gridCol w:w="1757"/>
              <w:gridCol w:w="759"/>
              <w:gridCol w:w="1007"/>
              <w:gridCol w:w="1754"/>
            </w:tblGrid>
            <w:tr w:rsidR="00B546CE" w:rsidRPr="00B546CE" w14:paraId="369B3069" w14:textId="77777777" w:rsidTr="00B546CE">
              <w:trPr>
                <w:trHeight w:val="297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6251B" w14:textId="439EBF6C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A4842" w14:textId="0FC6E482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308CE" w14:textId="13B63338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15B833" w14:textId="1EE6251A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875FD" w14:textId="2D97B6BC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32F52" w14:textId="26E62990" w:rsidR="00B546CE" w:rsidRPr="00B546CE" w:rsidRDefault="00B546CE" w:rsidP="00B546C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1"/>
                      <w:szCs w:val="21"/>
                      <w:lang w:val="en-US" w:bidi="ar-SA"/>
                    </w:rPr>
                  </w:pPr>
                  <w:r w:rsidRPr="00B546CE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公司</w:t>
                  </w:r>
                </w:p>
              </w:tc>
            </w:tr>
            <w:tr w:rsidR="000A71A0" w:rsidRPr="00B546CE" w14:paraId="0E8045F0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9CFAE4" w14:textId="624E58CE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1F95B" w14:textId="274F3474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张晓锋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81411" w14:textId="12110E0D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开源证券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69B54" w14:textId="571AA74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1C679" w14:textId="39E6EAC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戴溪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7EB71" w14:textId="1A6E3451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鑫融长弘资</w:t>
                  </w: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管</w:t>
                  </w:r>
                  <w:proofErr w:type="gramEnd"/>
                </w:p>
              </w:tc>
            </w:tr>
            <w:tr w:rsidR="000A71A0" w:rsidRPr="00B546CE" w14:paraId="2050AD47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07D3A3" w14:textId="77399A5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F110C" w14:textId="4EE204A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赵宇航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DC45C" w14:textId="101921B2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中信证券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2F6CE" w14:textId="23921EE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32091" w14:textId="353CC0C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李旋坤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52B72" w14:textId="5F9D0191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山西证券</w:t>
                  </w:r>
                </w:p>
              </w:tc>
            </w:tr>
            <w:tr w:rsidR="000A71A0" w:rsidRPr="00B546CE" w14:paraId="35F30827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142FD2" w14:textId="57097FD3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B5983" w14:textId="32B01002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夏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一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5E8B4" w14:textId="1B23E424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玄卜投资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D33CF" w14:textId="0F8F5E2B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94DC3" w14:textId="7BC740C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李其东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90935" w14:textId="3989F0B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嘉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世</w:t>
                  </w:r>
                  <w:proofErr w:type="gramEnd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私募</w:t>
                  </w:r>
                </w:p>
              </w:tc>
            </w:tr>
            <w:tr w:rsidR="000A71A0" w:rsidRPr="00B546CE" w14:paraId="1EF2EDEF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8C8819" w14:textId="214E923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E0F4E" w14:textId="00AA3FE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李心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宓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E1693" w14:textId="43063F3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南方基金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4ED55" w14:textId="2650F3AE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186E1" w14:textId="5FD0680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李彬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05DFF" w14:textId="280A4418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国新证券</w:t>
                  </w:r>
                </w:p>
              </w:tc>
            </w:tr>
            <w:tr w:rsidR="000A71A0" w:rsidRPr="00B546CE" w14:paraId="27B0126C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9EABAF" w14:textId="20201B13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D4BD1" w14:textId="51991F4E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李妍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25257" w14:textId="569E7D1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西部证券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D9D0A" w14:textId="519FF7E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E3C68" w14:textId="579F9F7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李绍程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04F53" w14:textId="45FA9B4D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申万宏源证券</w:t>
                  </w:r>
                  <w:proofErr w:type="gramEnd"/>
                </w:p>
              </w:tc>
            </w:tr>
            <w:tr w:rsidR="000A71A0" w:rsidRPr="00B546CE" w14:paraId="6E0A4067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BF8909" w14:textId="2B405A81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8E2E7" w14:textId="5A9C8B73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徐晨迪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5A072" w14:textId="5A814E82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和谐健康保险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8F7CD" w14:textId="7A0162E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74AC4" w14:textId="1837218E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王强峰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C0C22" w14:textId="59185AE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华安证券</w:t>
                  </w:r>
                </w:p>
              </w:tc>
            </w:tr>
            <w:tr w:rsidR="000A71A0" w:rsidRPr="00B546CE" w14:paraId="1DF1F264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559745" w14:textId="37DA642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9029D" w14:textId="409F51B4" w:rsidR="000A71A0" w:rsidRPr="000A71A0" w:rsidRDefault="00BA1CFA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陈晓生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624FD" w14:textId="78C38195" w:rsidR="000A71A0" w:rsidRPr="000A71A0" w:rsidRDefault="00BA1CFA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淡水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泉投资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5E397" w14:textId="60EAF43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8DDFD" w14:textId="41D6F2E4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任宵逸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90D5A" w14:textId="65974F6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鹏扬基金</w:t>
                  </w:r>
                  <w:proofErr w:type="gramEnd"/>
                </w:p>
              </w:tc>
            </w:tr>
            <w:tr w:rsidR="000A71A0" w:rsidRPr="00B546CE" w14:paraId="2847D76E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EC9EBF" w14:textId="2FF4E0D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2FCF9" w14:textId="46E921C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蔺翊昕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FB266" w14:textId="5B27419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建信金融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BDA01" w14:textId="768578DB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7483C" w14:textId="6729FBBE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王亮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AE09D" w14:textId="602E7B1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太平洋证券</w:t>
                  </w:r>
                </w:p>
              </w:tc>
            </w:tr>
            <w:tr w:rsidR="000A71A0" w:rsidRPr="00B546CE" w14:paraId="5DC671C9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205C1E" w14:textId="1345A8E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ADDD6" w14:textId="67DD4B6E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赵宇新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D4D03" w14:textId="35A69F12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金石投资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01FA4" w14:textId="0218556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AAF37" w14:textId="3AD064BD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傅锴铭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0CC9C" w14:textId="3685DD6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中金公司</w:t>
                  </w:r>
                </w:p>
              </w:tc>
            </w:tr>
            <w:tr w:rsidR="000A71A0" w:rsidRPr="00B546CE" w14:paraId="36B1932A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080230" w14:textId="293DF04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8C0EE" w14:textId="177ADAA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王厚恩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E4DF7" w14:textId="2099884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深高私募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1DEF6" w14:textId="537F8FBB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3623A" w14:textId="7A9D9C2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施宇宙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C2343" w14:textId="36D44DA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大成基金</w:t>
                  </w:r>
                </w:p>
              </w:tc>
            </w:tr>
            <w:tr w:rsidR="000A71A0" w:rsidRPr="00B546CE" w14:paraId="3E24239C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677338" w14:textId="703FB8C3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C17B0" w14:textId="306D5F5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刘颖飞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5ADCD" w14:textId="621FC30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平安银行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97CD8" w14:textId="7CEACAF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74F79" w14:textId="15BC4FA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沈唯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0A91B" w14:textId="459C224B" w:rsidR="000A71A0" w:rsidRPr="000A71A0" w:rsidRDefault="0090582A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color w:val="000000"/>
                      <w:sz w:val="21"/>
                      <w:szCs w:val="21"/>
                      <w:lang w:val="en-US" w:bidi="ar-SA"/>
                    </w:rPr>
                    <w:t>国泰海通证券</w:t>
                  </w:r>
                </w:p>
              </w:tc>
            </w:tr>
            <w:tr w:rsidR="000A71A0" w:rsidRPr="00B546CE" w14:paraId="3D9F542E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76F75C" w14:textId="08232314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C362C" w14:textId="37B058E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沈露瑶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72733" w14:textId="47F5DFF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东北证券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7BB0D" w14:textId="7A78787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FAE61" w14:textId="7F3B5AE3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王鹏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16BBF" w14:textId="5437805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银河证券</w:t>
                  </w:r>
                </w:p>
              </w:tc>
            </w:tr>
            <w:tr w:rsidR="000A71A0" w:rsidRPr="00B546CE" w14:paraId="25EDD651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6D41BA" w14:textId="7165672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F4E52" w14:textId="49AEAA8A" w:rsidR="000A71A0" w:rsidRPr="000A71A0" w:rsidRDefault="00FB545B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FB545B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钟霖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C59C9" w14:textId="4E007774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拾掇投资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D3E20" w14:textId="51A3E74B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51DC0" w14:textId="7C95363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梅宇鑫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33D92" w14:textId="6559A8D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东方财富证券</w:t>
                  </w:r>
                </w:p>
              </w:tc>
            </w:tr>
            <w:tr w:rsidR="000A71A0" w:rsidRPr="00B546CE" w14:paraId="23BDDE91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43B7D2" w14:textId="66EB37DD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FB753" w14:textId="4E8D10E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眭</w:t>
                  </w:r>
                  <w:proofErr w:type="gramEnd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悦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8C24A" w14:textId="014C2708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云脊私募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29A9A" w14:textId="3775BD9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1DA65" w14:textId="3ECC517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王友舜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3FD01" w14:textId="46BBDA9D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国投证券</w:t>
                  </w:r>
                </w:p>
              </w:tc>
            </w:tr>
            <w:tr w:rsidR="000A71A0" w:rsidRPr="00B546CE" w14:paraId="417C9780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101F64" w14:textId="3BBC7C91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11A70" w14:textId="2A7F81A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宋梓荣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03619" w14:textId="48F7119B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开源证券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816DB" w14:textId="34920AC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184C1" w14:textId="3491D368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王双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EDEF7" w14:textId="0A6F1578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国都证券</w:t>
                  </w:r>
                </w:p>
              </w:tc>
            </w:tr>
            <w:tr w:rsidR="000A71A0" w:rsidRPr="00B546CE" w14:paraId="4A1F7F95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CCE762" w14:textId="6420BA9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58B4B" w14:textId="5D8BE41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杨文韬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D9D48" w14:textId="3F920D2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华泰证券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78F41" w14:textId="1B2F0BA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F57A7" w14:textId="65D14398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汪智谦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6D80" w14:textId="312C00C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浙商证券</w:t>
                  </w:r>
                  <w:proofErr w:type="gramEnd"/>
                </w:p>
              </w:tc>
            </w:tr>
            <w:tr w:rsidR="000A71A0" w:rsidRPr="00B546CE" w14:paraId="508C331A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6E628A" w14:textId="5DDE8B28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71D66" w14:textId="7252381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周家诺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FC704" w14:textId="151D52BB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光大证券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2D30B" w14:textId="6C40811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75118" w14:textId="14F0EAA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莫莉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EE88D" w14:textId="25362CC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耕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霁投资</w:t>
                  </w:r>
                  <w:proofErr w:type="gramEnd"/>
                </w:p>
              </w:tc>
            </w:tr>
            <w:tr w:rsidR="000A71A0" w:rsidRPr="00B546CE" w14:paraId="6218BD18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914A08" w14:textId="5EE46F8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1E9BA" w14:textId="78AA1C7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费晨洪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04FB9" w14:textId="5AC4AA3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中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邮证券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F4D2A" w14:textId="5518B2F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01FBE" w14:textId="3ED886D2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王哲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EB3E9" w14:textId="3B216558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上海证券</w:t>
                  </w:r>
                </w:p>
              </w:tc>
            </w:tr>
            <w:tr w:rsidR="000A71A0" w:rsidRPr="00B546CE" w14:paraId="5B027157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1B3E8C" w14:textId="3D36F19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B723A" w14:textId="45F5E9C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黄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垲</w:t>
                  </w:r>
                  <w:proofErr w:type="gramEnd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锐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EE18" w14:textId="53102EB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远信私募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FCC17" w14:textId="4BD4EAD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538C3" w14:textId="52501CE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刘旭升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F89B4" w14:textId="305F1E41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方正证券</w:t>
                  </w:r>
                </w:p>
              </w:tc>
            </w:tr>
            <w:tr w:rsidR="000A71A0" w:rsidRPr="00B546CE" w14:paraId="01D94C29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C3043B" w14:textId="6013798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5F4F1" w14:textId="6F18C1D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罗华灶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2B385" w14:textId="0CF74BD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吉富创</w:t>
                  </w:r>
                  <w:proofErr w:type="gramEnd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投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DB35C" w14:textId="4B57B8E2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6932F" w14:textId="1D91FC2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杨翼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荥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945D8" w14:textId="2E18ECB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国金证券</w:t>
                  </w:r>
                </w:p>
              </w:tc>
            </w:tr>
            <w:tr w:rsidR="000A71A0" w:rsidRPr="00B546CE" w14:paraId="2207CA67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4B6876" w14:textId="14A2CBED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326C0" w14:textId="7EBA5D7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董丙旭</w:t>
                  </w:r>
                  <w:proofErr w:type="gramEnd"/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60D8" w14:textId="014CECB3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国信证券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A0580" w14:textId="37ED5876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1E0D4" w14:textId="49B2E69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石亮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B2359" w14:textId="1DF9782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兴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银基金</w:t>
                  </w:r>
                  <w:proofErr w:type="gramEnd"/>
                </w:p>
              </w:tc>
            </w:tr>
            <w:tr w:rsidR="000A71A0" w:rsidRPr="00B546CE" w14:paraId="1F69558C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EC8652" w14:textId="0C46FCB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9B468" w14:textId="7ECA54C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马小萱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AD199" w14:textId="00B9BD11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东方财富证券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7AFED" w14:textId="6AC6A50D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4ECAA" w14:textId="3E2AE5AD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刘奕麟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8203A" w14:textId="0E321A31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信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达证券</w:t>
                  </w:r>
                  <w:proofErr w:type="gramEnd"/>
                </w:p>
              </w:tc>
            </w:tr>
            <w:tr w:rsidR="000A71A0" w:rsidRPr="00B546CE" w14:paraId="7D28D2B5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0394BB" w14:textId="7513ACB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D9E9A" w14:textId="691A11E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刘树德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A5D87" w14:textId="5EBD8E9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中国人保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2C6E0" w14:textId="3AA7966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48079" w14:textId="05EB95C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翟启迪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1A0F6" w14:textId="439EC94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银河证券</w:t>
                  </w:r>
                </w:p>
              </w:tc>
            </w:tr>
            <w:tr w:rsidR="000A71A0" w:rsidRPr="00B546CE" w14:paraId="07C42A9E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2865B0" w14:textId="02748BD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1D534" w14:textId="6162DBED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庄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懷</w:t>
                  </w:r>
                  <w:proofErr w:type="gramEnd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超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CB36" w14:textId="059A8E4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環球富盛</w:t>
                  </w:r>
                  <w:proofErr w:type="gramEnd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理財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CAD9D" w14:textId="6BF091D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D2619" w14:textId="4B68D9C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吴骏燕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B3A30" w14:textId="5EF62488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东海证券</w:t>
                  </w:r>
                </w:p>
              </w:tc>
            </w:tr>
            <w:tr w:rsidR="000A71A0" w:rsidRPr="00B546CE" w14:paraId="23BF034E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A3A773" w14:textId="0C336DD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B9529" w14:textId="20FD2E1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顾宝成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60A14" w14:textId="705FD29B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上海度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势投资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D8657" w14:textId="7A6B7DF7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7B928" w14:textId="2231A48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李随军</w:t>
                  </w: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70F9F" w14:textId="4A781CA3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双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安资产</w:t>
                  </w:r>
                  <w:proofErr w:type="gramEnd"/>
                </w:p>
              </w:tc>
            </w:tr>
            <w:tr w:rsidR="000A71A0" w:rsidRPr="00B546CE" w14:paraId="22FDF1D8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EE982E" w14:textId="0C456D6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11C89" w14:textId="740E53B8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王海涛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0AF79" w14:textId="1C9781F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太平洋证券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8B0E3" w14:textId="5DF76BBE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6DEF0" w14:textId="636AA843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李伟</w:t>
                  </w: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臻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37B4D" w14:textId="01A2BD1B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瑞银证券</w:t>
                  </w:r>
                </w:p>
              </w:tc>
            </w:tr>
            <w:tr w:rsidR="000A71A0" w:rsidRPr="00B546CE" w14:paraId="4D7530C1" w14:textId="77777777" w:rsidTr="00B546CE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33C024" w14:textId="5C49DC0A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EE24B" w14:textId="3298DD42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张茹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C4073" w14:textId="2144C419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北京合润私募</w:t>
                  </w:r>
                  <w:proofErr w:type="gramEnd"/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1473B" w14:textId="6D5307B0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678E8" w14:textId="4ADDF8D1" w:rsidR="000A71A0" w:rsidRPr="000A71A0" w:rsidRDefault="00BA1CFA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漆思瑶</w:t>
                  </w:r>
                  <w:proofErr w:type="gramEnd"/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900EC" w14:textId="0A945D14" w:rsidR="000A71A0" w:rsidRPr="000A71A0" w:rsidRDefault="00BA1CFA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proofErr w:type="gramStart"/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久量股份</w:t>
                  </w:r>
                  <w:proofErr w:type="gramEnd"/>
                </w:p>
              </w:tc>
            </w:tr>
            <w:tr w:rsidR="000A71A0" w:rsidRPr="00B546CE" w14:paraId="06A1A177" w14:textId="77777777" w:rsidTr="003D3946">
              <w:trPr>
                <w:trHeight w:val="305"/>
              </w:trPr>
              <w:tc>
                <w:tcPr>
                  <w:tcW w:w="5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DC3FD8" w14:textId="2DEABE33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173A01">
                    <w:rPr>
                      <w:rFonts w:ascii="Times New Roman" w:eastAsiaTheme="minorEastAsia" w:hAnsi="Times New Roman" w:hint="eastAsia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A123E" w14:textId="190F84BF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杨丽蓉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AA704" w14:textId="3B4CA372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  <w:r w:rsidRPr="000A71A0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国海证券</w:t>
                  </w: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164422" w14:textId="062724F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7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40939D" w14:textId="26C27F7C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2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6B978C" w14:textId="0EA18AC5" w:rsidR="000A71A0" w:rsidRPr="000A71A0" w:rsidRDefault="000A71A0" w:rsidP="000A71A0">
                  <w:pPr>
                    <w:widowControl/>
                    <w:autoSpaceDE/>
                    <w:autoSpaceDN/>
                    <w:jc w:val="center"/>
                    <w:rPr>
                      <w:rFonts w:asciiTheme="minorEastAsia" w:eastAsiaTheme="minorEastAsia" w:hAnsiTheme="minorEastAsia" w:cs="Times New Roman"/>
                      <w:color w:val="000000"/>
                      <w:sz w:val="21"/>
                      <w:szCs w:val="21"/>
                      <w:lang w:val="en-US" w:bidi="ar-SA"/>
                    </w:rPr>
                  </w:pPr>
                </w:p>
              </w:tc>
            </w:tr>
          </w:tbl>
          <w:p w14:paraId="2C689F5D" w14:textId="77777777" w:rsidR="00FF558D" w:rsidRDefault="00FF558D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B284451" w14:textId="1BC69419" w:rsidR="00FF558D" w:rsidRDefault="00FF558D">
      <w:pPr>
        <w:spacing w:beforeLines="50" w:before="120" w:line="360" w:lineRule="auto"/>
        <w:rPr>
          <w:rFonts w:ascii="Times New Roman" w:eastAsia="宋体" w:hAnsi="Times New Roman" w:cs="Times New Roman"/>
          <w:color w:val="000000" w:themeColor="text1"/>
          <w:sz w:val="20"/>
        </w:rPr>
      </w:pPr>
    </w:p>
    <w:sectPr w:rsidR="00FF558D">
      <w:footerReference w:type="default" r:id="rId8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B4B01D" w16cex:dateUtc="2025-11-03T02:16:00Z"/>
  <w16cex:commentExtensible w16cex:durableId="17A89DD4" w16cex:dateUtc="2025-11-03T02:02:00Z"/>
  <w16cex:commentExtensible w16cex:durableId="0592384B" w16cex:dateUtc="2025-11-03T02:11:00Z"/>
  <w16cex:commentExtensible w16cex:durableId="02C0ED0D" w16cex:dateUtc="2025-11-03T02:1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24D1" w14:textId="77777777" w:rsidR="00DF48F2" w:rsidRDefault="00DF48F2">
      <w:r>
        <w:separator/>
      </w:r>
    </w:p>
  </w:endnote>
  <w:endnote w:type="continuationSeparator" w:id="0">
    <w:p w14:paraId="081C025E" w14:textId="77777777" w:rsidR="00DF48F2" w:rsidRDefault="00DF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688960"/>
    </w:sdtPr>
    <w:sdtEndPr/>
    <w:sdtContent>
      <w:sdt>
        <w:sdtPr>
          <w:id w:val="1728636285"/>
        </w:sdtPr>
        <w:sdtEndPr/>
        <w:sdtContent>
          <w:p w14:paraId="1AE690BD" w14:textId="4BB91B4D" w:rsidR="00FF558D" w:rsidRDefault="00513407">
            <w:pPr>
              <w:pStyle w:val="a6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A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A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9CAD0" w14:textId="77777777" w:rsidR="00FF558D" w:rsidRDefault="00FF55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50E26" w14:textId="77777777" w:rsidR="00DF48F2" w:rsidRDefault="00DF48F2">
      <w:r>
        <w:separator/>
      </w:r>
    </w:p>
  </w:footnote>
  <w:footnote w:type="continuationSeparator" w:id="0">
    <w:p w14:paraId="600DCA4F" w14:textId="77777777" w:rsidR="00DF48F2" w:rsidRDefault="00DF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F0073"/>
    <w:multiLevelType w:val="hybridMultilevel"/>
    <w:tmpl w:val="469C5268"/>
    <w:lvl w:ilvl="0" w:tplc="176AC4D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FC05F23"/>
    <w:multiLevelType w:val="hybridMultilevel"/>
    <w:tmpl w:val="F8964F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158C"/>
    <w:rsid w:val="00001C36"/>
    <w:rsid w:val="000031FF"/>
    <w:rsid w:val="00005FDF"/>
    <w:rsid w:val="000110A5"/>
    <w:rsid w:val="00015683"/>
    <w:rsid w:val="00016EFA"/>
    <w:rsid w:val="0002579A"/>
    <w:rsid w:val="00026B4A"/>
    <w:rsid w:val="00026CC3"/>
    <w:rsid w:val="00030733"/>
    <w:rsid w:val="00033BA4"/>
    <w:rsid w:val="00034192"/>
    <w:rsid w:val="000346A3"/>
    <w:rsid w:val="00036089"/>
    <w:rsid w:val="00046891"/>
    <w:rsid w:val="00046DBD"/>
    <w:rsid w:val="000473E5"/>
    <w:rsid w:val="00050D42"/>
    <w:rsid w:val="00050E81"/>
    <w:rsid w:val="00051504"/>
    <w:rsid w:val="00051995"/>
    <w:rsid w:val="00053129"/>
    <w:rsid w:val="00053CFA"/>
    <w:rsid w:val="000548CE"/>
    <w:rsid w:val="00054EC0"/>
    <w:rsid w:val="00055C37"/>
    <w:rsid w:val="00057003"/>
    <w:rsid w:val="000629F1"/>
    <w:rsid w:val="000633EC"/>
    <w:rsid w:val="00063804"/>
    <w:rsid w:val="00063CE2"/>
    <w:rsid w:val="00065536"/>
    <w:rsid w:val="000665A2"/>
    <w:rsid w:val="00067204"/>
    <w:rsid w:val="0006761B"/>
    <w:rsid w:val="00070037"/>
    <w:rsid w:val="00070A21"/>
    <w:rsid w:val="000724CE"/>
    <w:rsid w:val="00075829"/>
    <w:rsid w:val="00077C57"/>
    <w:rsid w:val="000809FC"/>
    <w:rsid w:val="00081187"/>
    <w:rsid w:val="00081511"/>
    <w:rsid w:val="00084F59"/>
    <w:rsid w:val="00085EEB"/>
    <w:rsid w:val="000861AC"/>
    <w:rsid w:val="000877AB"/>
    <w:rsid w:val="0009007E"/>
    <w:rsid w:val="00092ED6"/>
    <w:rsid w:val="00093D17"/>
    <w:rsid w:val="000A049A"/>
    <w:rsid w:val="000A4B85"/>
    <w:rsid w:val="000A5464"/>
    <w:rsid w:val="000A5F76"/>
    <w:rsid w:val="000A6110"/>
    <w:rsid w:val="000A71A0"/>
    <w:rsid w:val="000A7869"/>
    <w:rsid w:val="000B0BE7"/>
    <w:rsid w:val="000B0F69"/>
    <w:rsid w:val="000B4C21"/>
    <w:rsid w:val="000B6628"/>
    <w:rsid w:val="000B6B0F"/>
    <w:rsid w:val="000B7C08"/>
    <w:rsid w:val="000C0EB6"/>
    <w:rsid w:val="000C0F33"/>
    <w:rsid w:val="000C1DC4"/>
    <w:rsid w:val="000C4B12"/>
    <w:rsid w:val="000C564C"/>
    <w:rsid w:val="000C6A45"/>
    <w:rsid w:val="000D12CF"/>
    <w:rsid w:val="000D2C64"/>
    <w:rsid w:val="000D2D88"/>
    <w:rsid w:val="000D32BB"/>
    <w:rsid w:val="000D4BCA"/>
    <w:rsid w:val="000D4E20"/>
    <w:rsid w:val="000D704A"/>
    <w:rsid w:val="000D7617"/>
    <w:rsid w:val="000E0774"/>
    <w:rsid w:val="000E117A"/>
    <w:rsid w:val="000E3437"/>
    <w:rsid w:val="000E448A"/>
    <w:rsid w:val="000E4B20"/>
    <w:rsid w:val="000E6DCF"/>
    <w:rsid w:val="000E7871"/>
    <w:rsid w:val="000F047C"/>
    <w:rsid w:val="000F2653"/>
    <w:rsid w:val="000F30FD"/>
    <w:rsid w:val="000F61DB"/>
    <w:rsid w:val="00100C05"/>
    <w:rsid w:val="001025FF"/>
    <w:rsid w:val="00104C77"/>
    <w:rsid w:val="001057BB"/>
    <w:rsid w:val="0010640F"/>
    <w:rsid w:val="0010711D"/>
    <w:rsid w:val="00111026"/>
    <w:rsid w:val="00111248"/>
    <w:rsid w:val="0011178B"/>
    <w:rsid w:val="00111BDB"/>
    <w:rsid w:val="00111EE9"/>
    <w:rsid w:val="001121B7"/>
    <w:rsid w:val="00113A52"/>
    <w:rsid w:val="0011418F"/>
    <w:rsid w:val="001152C0"/>
    <w:rsid w:val="00115A83"/>
    <w:rsid w:val="00116C15"/>
    <w:rsid w:val="00116DEB"/>
    <w:rsid w:val="00117F56"/>
    <w:rsid w:val="00121418"/>
    <w:rsid w:val="001226A8"/>
    <w:rsid w:val="00122A7A"/>
    <w:rsid w:val="00124A42"/>
    <w:rsid w:val="00124F99"/>
    <w:rsid w:val="00125132"/>
    <w:rsid w:val="001312CC"/>
    <w:rsid w:val="00131ECB"/>
    <w:rsid w:val="00132E99"/>
    <w:rsid w:val="001347F8"/>
    <w:rsid w:val="00135CCE"/>
    <w:rsid w:val="001409A7"/>
    <w:rsid w:val="001413BA"/>
    <w:rsid w:val="00144AE8"/>
    <w:rsid w:val="001477B8"/>
    <w:rsid w:val="00147CDA"/>
    <w:rsid w:val="001530C0"/>
    <w:rsid w:val="00153CCD"/>
    <w:rsid w:val="001542AC"/>
    <w:rsid w:val="00155820"/>
    <w:rsid w:val="001602DA"/>
    <w:rsid w:val="00161468"/>
    <w:rsid w:val="0016200F"/>
    <w:rsid w:val="0016380B"/>
    <w:rsid w:val="0016438A"/>
    <w:rsid w:val="001649B0"/>
    <w:rsid w:val="001652A2"/>
    <w:rsid w:val="00165EBC"/>
    <w:rsid w:val="00166A82"/>
    <w:rsid w:val="00171EEB"/>
    <w:rsid w:val="00172270"/>
    <w:rsid w:val="001723B7"/>
    <w:rsid w:val="00172C24"/>
    <w:rsid w:val="00173A01"/>
    <w:rsid w:val="001772AC"/>
    <w:rsid w:val="00177B05"/>
    <w:rsid w:val="00183182"/>
    <w:rsid w:val="001840D2"/>
    <w:rsid w:val="00186D98"/>
    <w:rsid w:val="00190C40"/>
    <w:rsid w:val="001933EC"/>
    <w:rsid w:val="00196BE8"/>
    <w:rsid w:val="00197867"/>
    <w:rsid w:val="001A0FDA"/>
    <w:rsid w:val="001A498F"/>
    <w:rsid w:val="001A5C17"/>
    <w:rsid w:val="001A6688"/>
    <w:rsid w:val="001A6C6A"/>
    <w:rsid w:val="001B01D8"/>
    <w:rsid w:val="001B0277"/>
    <w:rsid w:val="001B06AA"/>
    <w:rsid w:val="001B0D11"/>
    <w:rsid w:val="001B0ED7"/>
    <w:rsid w:val="001B2E4B"/>
    <w:rsid w:val="001B3867"/>
    <w:rsid w:val="001B66E1"/>
    <w:rsid w:val="001B6C89"/>
    <w:rsid w:val="001B726D"/>
    <w:rsid w:val="001B7978"/>
    <w:rsid w:val="001C10B2"/>
    <w:rsid w:val="001C12A7"/>
    <w:rsid w:val="001C247C"/>
    <w:rsid w:val="001C319C"/>
    <w:rsid w:val="001C5A3B"/>
    <w:rsid w:val="001C5C98"/>
    <w:rsid w:val="001C619A"/>
    <w:rsid w:val="001D2B87"/>
    <w:rsid w:val="001D34C2"/>
    <w:rsid w:val="001D34F5"/>
    <w:rsid w:val="001D581B"/>
    <w:rsid w:val="001D62EB"/>
    <w:rsid w:val="001D7162"/>
    <w:rsid w:val="001D7196"/>
    <w:rsid w:val="001E0977"/>
    <w:rsid w:val="001E15AC"/>
    <w:rsid w:val="001E3182"/>
    <w:rsid w:val="001E42C3"/>
    <w:rsid w:val="001E4707"/>
    <w:rsid w:val="001E59D1"/>
    <w:rsid w:val="001E5EA4"/>
    <w:rsid w:val="0020215B"/>
    <w:rsid w:val="002042A7"/>
    <w:rsid w:val="00204AEB"/>
    <w:rsid w:val="00204E41"/>
    <w:rsid w:val="00205911"/>
    <w:rsid w:val="002063CA"/>
    <w:rsid w:val="00206AE1"/>
    <w:rsid w:val="002070EF"/>
    <w:rsid w:val="00211637"/>
    <w:rsid w:val="0021206E"/>
    <w:rsid w:val="00212127"/>
    <w:rsid w:val="00212A0E"/>
    <w:rsid w:val="002146AD"/>
    <w:rsid w:val="00215AC9"/>
    <w:rsid w:val="00217246"/>
    <w:rsid w:val="002201A5"/>
    <w:rsid w:val="00220BBC"/>
    <w:rsid w:val="00221D76"/>
    <w:rsid w:val="00222282"/>
    <w:rsid w:val="00222E61"/>
    <w:rsid w:val="00224202"/>
    <w:rsid w:val="00225813"/>
    <w:rsid w:val="00226BBC"/>
    <w:rsid w:val="00227B6F"/>
    <w:rsid w:val="0023082D"/>
    <w:rsid w:val="002350D9"/>
    <w:rsid w:val="002354BE"/>
    <w:rsid w:val="0024258B"/>
    <w:rsid w:val="00243F61"/>
    <w:rsid w:val="0024475B"/>
    <w:rsid w:val="00244BE6"/>
    <w:rsid w:val="00246D39"/>
    <w:rsid w:val="00247260"/>
    <w:rsid w:val="00247739"/>
    <w:rsid w:val="00247C15"/>
    <w:rsid w:val="00250556"/>
    <w:rsid w:val="002526EE"/>
    <w:rsid w:val="00252C6A"/>
    <w:rsid w:val="0025311B"/>
    <w:rsid w:val="00254300"/>
    <w:rsid w:val="0025486C"/>
    <w:rsid w:val="00257700"/>
    <w:rsid w:val="00257C67"/>
    <w:rsid w:val="0026167C"/>
    <w:rsid w:val="0026268B"/>
    <w:rsid w:val="00262E3F"/>
    <w:rsid w:val="00265067"/>
    <w:rsid w:val="002651D7"/>
    <w:rsid w:val="00265339"/>
    <w:rsid w:val="00266A2E"/>
    <w:rsid w:val="00270076"/>
    <w:rsid w:val="00271433"/>
    <w:rsid w:val="00271C21"/>
    <w:rsid w:val="00273841"/>
    <w:rsid w:val="00274EB5"/>
    <w:rsid w:val="00275CB6"/>
    <w:rsid w:val="002773B1"/>
    <w:rsid w:val="002800B5"/>
    <w:rsid w:val="00280AE7"/>
    <w:rsid w:val="00282F34"/>
    <w:rsid w:val="002835BD"/>
    <w:rsid w:val="00287076"/>
    <w:rsid w:val="002878E3"/>
    <w:rsid w:val="00293370"/>
    <w:rsid w:val="002946C6"/>
    <w:rsid w:val="00294AF8"/>
    <w:rsid w:val="00295233"/>
    <w:rsid w:val="00295B29"/>
    <w:rsid w:val="0029766C"/>
    <w:rsid w:val="002A168F"/>
    <w:rsid w:val="002A1E57"/>
    <w:rsid w:val="002A3226"/>
    <w:rsid w:val="002A49EC"/>
    <w:rsid w:val="002A4FBD"/>
    <w:rsid w:val="002B0A0D"/>
    <w:rsid w:val="002B0E4C"/>
    <w:rsid w:val="002B17D6"/>
    <w:rsid w:val="002B1B74"/>
    <w:rsid w:val="002B227F"/>
    <w:rsid w:val="002B3833"/>
    <w:rsid w:val="002B3C29"/>
    <w:rsid w:val="002B4010"/>
    <w:rsid w:val="002B413D"/>
    <w:rsid w:val="002B548F"/>
    <w:rsid w:val="002B55D4"/>
    <w:rsid w:val="002C00C1"/>
    <w:rsid w:val="002C2E9E"/>
    <w:rsid w:val="002C6DC3"/>
    <w:rsid w:val="002C772C"/>
    <w:rsid w:val="002D09D3"/>
    <w:rsid w:val="002D0ABD"/>
    <w:rsid w:val="002D1AE4"/>
    <w:rsid w:val="002D4073"/>
    <w:rsid w:val="002D4412"/>
    <w:rsid w:val="002D45E7"/>
    <w:rsid w:val="002D4DF5"/>
    <w:rsid w:val="002D4FBA"/>
    <w:rsid w:val="002D5D49"/>
    <w:rsid w:val="002E4CA6"/>
    <w:rsid w:val="002E4DF8"/>
    <w:rsid w:val="002E566F"/>
    <w:rsid w:val="002E64AE"/>
    <w:rsid w:val="002E7098"/>
    <w:rsid w:val="002E7863"/>
    <w:rsid w:val="002F0FCE"/>
    <w:rsid w:val="002F194F"/>
    <w:rsid w:val="002F2889"/>
    <w:rsid w:val="002F2998"/>
    <w:rsid w:val="002F4A02"/>
    <w:rsid w:val="002F581C"/>
    <w:rsid w:val="002F650A"/>
    <w:rsid w:val="002F71F9"/>
    <w:rsid w:val="00301859"/>
    <w:rsid w:val="00301D24"/>
    <w:rsid w:val="00301D32"/>
    <w:rsid w:val="00301E47"/>
    <w:rsid w:val="00302C6C"/>
    <w:rsid w:val="003034BC"/>
    <w:rsid w:val="00306C04"/>
    <w:rsid w:val="0030709D"/>
    <w:rsid w:val="0031119C"/>
    <w:rsid w:val="00312BF0"/>
    <w:rsid w:val="003144A6"/>
    <w:rsid w:val="003156EB"/>
    <w:rsid w:val="0031606E"/>
    <w:rsid w:val="00322245"/>
    <w:rsid w:val="0032258B"/>
    <w:rsid w:val="00322ACF"/>
    <w:rsid w:val="00323DEA"/>
    <w:rsid w:val="0032431E"/>
    <w:rsid w:val="003243B1"/>
    <w:rsid w:val="00326014"/>
    <w:rsid w:val="00326C23"/>
    <w:rsid w:val="003274A0"/>
    <w:rsid w:val="00331C8C"/>
    <w:rsid w:val="003327AE"/>
    <w:rsid w:val="003327F2"/>
    <w:rsid w:val="003345D4"/>
    <w:rsid w:val="00334C67"/>
    <w:rsid w:val="00336C13"/>
    <w:rsid w:val="0033767C"/>
    <w:rsid w:val="00340F0E"/>
    <w:rsid w:val="003411DF"/>
    <w:rsid w:val="00341F7A"/>
    <w:rsid w:val="0034220A"/>
    <w:rsid w:val="00347147"/>
    <w:rsid w:val="00351288"/>
    <w:rsid w:val="00351387"/>
    <w:rsid w:val="0035166A"/>
    <w:rsid w:val="003517E2"/>
    <w:rsid w:val="00351A71"/>
    <w:rsid w:val="00353A02"/>
    <w:rsid w:val="00353DD9"/>
    <w:rsid w:val="00354A7C"/>
    <w:rsid w:val="00354C87"/>
    <w:rsid w:val="00354CDA"/>
    <w:rsid w:val="00356A77"/>
    <w:rsid w:val="00357965"/>
    <w:rsid w:val="00357D26"/>
    <w:rsid w:val="00362905"/>
    <w:rsid w:val="0036352C"/>
    <w:rsid w:val="00366FAD"/>
    <w:rsid w:val="00367895"/>
    <w:rsid w:val="00370A5D"/>
    <w:rsid w:val="0037105B"/>
    <w:rsid w:val="00373139"/>
    <w:rsid w:val="0037338D"/>
    <w:rsid w:val="0037372E"/>
    <w:rsid w:val="00374AE2"/>
    <w:rsid w:val="00380C94"/>
    <w:rsid w:val="00381D5A"/>
    <w:rsid w:val="003823B4"/>
    <w:rsid w:val="0039071F"/>
    <w:rsid w:val="00391F1E"/>
    <w:rsid w:val="0039722E"/>
    <w:rsid w:val="003975BA"/>
    <w:rsid w:val="003A6785"/>
    <w:rsid w:val="003A6B64"/>
    <w:rsid w:val="003A74E6"/>
    <w:rsid w:val="003B1587"/>
    <w:rsid w:val="003B33F9"/>
    <w:rsid w:val="003B3E2E"/>
    <w:rsid w:val="003B49E3"/>
    <w:rsid w:val="003B5312"/>
    <w:rsid w:val="003B5FC2"/>
    <w:rsid w:val="003B6B40"/>
    <w:rsid w:val="003B6EA8"/>
    <w:rsid w:val="003B6F3E"/>
    <w:rsid w:val="003B73DD"/>
    <w:rsid w:val="003C0016"/>
    <w:rsid w:val="003C04DB"/>
    <w:rsid w:val="003C1033"/>
    <w:rsid w:val="003C2682"/>
    <w:rsid w:val="003C3A6D"/>
    <w:rsid w:val="003C5505"/>
    <w:rsid w:val="003C7764"/>
    <w:rsid w:val="003D011C"/>
    <w:rsid w:val="003D07D2"/>
    <w:rsid w:val="003D09EB"/>
    <w:rsid w:val="003D2B89"/>
    <w:rsid w:val="003D3BB6"/>
    <w:rsid w:val="003D4878"/>
    <w:rsid w:val="003D62EF"/>
    <w:rsid w:val="003E3C61"/>
    <w:rsid w:val="003E44E0"/>
    <w:rsid w:val="003E65A6"/>
    <w:rsid w:val="003E7F7F"/>
    <w:rsid w:val="003F06C9"/>
    <w:rsid w:val="003F40A3"/>
    <w:rsid w:val="003F5173"/>
    <w:rsid w:val="003F5580"/>
    <w:rsid w:val="003F5641"/>
    <w:rsid w:val="00404140"/>
    <w:rsid w:val="004053B5"/>
    <w:rsid w:val="004108C7"/>
    <w:rsid w:val="00410C56"/>
    <w:rsid w:val="004128BA"/>
    <w:rsid w:val="00412DC2"/>
    <w:rsid w:val="0041321B"/>
    <w:rsid w:val="0041331A"/>
    <w:rsid w:val="00413A01"/>
    <w:rsid w:val="00415378"/>
    <w:rsid w:val="004156C1"/>
    <w:rsid w:val="00417BD7"/>
    <w:rsid w:val="00417C0D"/>
    <w:rsid w:val="004235FD"/>
    <w:rsid w:val="004237C2"/>
    <w:rsid w:val="0042566C"/>
    <w:rsid w:val="004259E2"/>
    <w:rsid w:val="0042644B"/>
    <w:rsid w:val="004274E7"/>
    <w:rsid w:val="00431CBF"/>
    <w:rsid w:val="00432791"/>
    <w:rsid w:val="004328E0"/>
    <w:rsid w:val="004349B9"/>
    <w:rsid w:val="00435057"/>
    <w:rsid w:val="004351A5"/>
    <w:rsid w:val="00435481"/>
    <w:rsid w:val="00436411"/>
    <w:rsid w:val="004370EB"/>
    <w:rsid w:val="00437B17"/>
    <w:rsid w:val="00440041"/>
    <w:rsid w:val="00445A60"/>
    <w:rsid w:val="00445DED"/>
    <w:rsid w:val="004462A8"/>
    <w:rsid w:val="00450138"/>
    <w:rsid w:val="0045034E"/>
    <w:rsid w:val="00451268"/>
    <w:rsid w:val="004512D5"/>
    <w:rsid w:val="004515AD"/>
    <w:rsid w:val="00451857"/>
    <w:rsid w:val="00451CB9"/>
    <w:rsid w:val="004522D5"/>
    <w:rsid w:val="0045300A"/>
    <w:rsid w:val="00453516"/>
    <w:rsid w:val="0045385F"/>
    <w:rsid w:val="00456E41"/>
    <w:rsid w:val="00456E88"/>
    <w:rsid w:val="00457548"/>
    <w:rsid w:val="0046136E"/>
    <w:rsid w:val="004625D0"/>
    <w:rsid w:val="00462E7F"/>
    <w:rsid w:val="0046353B"/>
    <w:rsid w:val="00464489"/>
    <w:rsid w:val="00467A0B"/>
    <w:rsid w:val="00470DB2"/>
    <w:rsid w:val="00471E3D"/>
    <w:rsid w:val="004731A4"/>
    <w:rsid w:val="00474237"/>
    <w:rsid w:val="00474E22"/>
    <w:rsid w:val="00477FD7"/>
    <w:rsid w:val="004803E1"/>
    <w:rsid w:val="00481661"/>
    <w:rsid w:val="004821EE"/>
    <w:rsid w:val="004837A5"/>
    <w:rsid w:val="00484692"/>
    <w:rsid w:val="00484740"/>
    <w:rsid w:val="00490C82"/>
    <w:rsid w:val="004911DF"/>
    <w:rsid w:val="004911EB"/>
    <w:rsid w:val="00491677"/>
    <w:rsid w:val="00491934"/>
    <w:rsid w:val="004925E7"/>
    <w:rsid w:val="00495355"/>
    <w:rsid w:val="00495B11"/>
    <w:rsid w:val="00496CB5"/>
    <w:rsid w:val="00497750"/>
    <w:rsid w:val="004A001F"/>
    <w:rsid w:val="004A0BF9"/>
    <w:rsid w:val="004A1918"/>
    <w:rsid w:val="004A223B"/>
    <w:rsid w:val="004A3471"/>
    <w:rsid w:val="004A405F"/>
    <w:rsid w:val="004B0BBA"/>
    <w:rsid w:val="004B17FC"/>
    <w:rsid w:val="004B216A"/>
    <w:rsid w:val="004B23AB"/>
    <w:rsid w:val="004B4C91"/>
    <w:rsid w:val="004B7F24"/>
    <w:rsid w:val="004C0006"/>
    <w:rsid w:val="004C027A"/>
    <w:rsid w:val="004C027E"/>
    <w:rsid w:val="004C03E7"/>
    <w:rsid w:val="004C7E8C"/>
    <w:rsid w:val="004D0E59"/>
    <w:rsid w:val="004D2E5D"/>
    <w:rsid w:val="004D6FB1"/>
    <w:rsid w:val="004D7235"/>
    <w:rsid w:val="004E173D"/>
    <w:rsid w:val="004E59EA"/>
    <w:rsid w:val="004E7C8E"/>
    <w:rsid w:val="004F0190"/>
    <w:rsid w:val="004F115C"/>
    <w:rsid w:val="004F4F31"/>
    <w:rsid w:val="004F6198"/>
    <w:rsid w:val="004F6318"/>
    <w:rsid w:val="004F6785"/>
    <w:rsid w:val="004F6FF3"/>
    <w:rsid w:val="004F711F"/>
    <w:rsid w:val="004F7EE5"/>
    <w:rsid w:val="00500179"/>
    <w:rsid w:val="00500F23"/>
    <w:rsid w:val="0050220F"/>
    <w:rsid w:val="005036A7"/>
    <w:rsid w:val="00503753"/>
    <w:rsid w:val="00503FCC"/>
    <w:rsid w:val="00510458"/>
    <w:rsid w:val="005116C1"/>
    <w:rsid w:val="00513366"/>
    <w:rsid w:val="00513407"/>
    <w:rsid w:val="00515AC2"/>
    <w:rsid w:val="0052064F"/>
    <w:rsid w:val="005214A7"/>
    <w:rsid w:val="0052381D"/>
    <w:rsid w:val="005254EB"/>
    <w:rsid w:val="00530C20"/>
    <w:rsid w:val="00530FCE"/>
    <w:rsid w:val="00531CF4"/>
    <w:rsid w:val="00531F09"/>
    <w:rsid w:val="00532ACF"/>
    <w:rsid w:val="0053559B"/>
    <w:rsid w:val="00542FCB"/>
    <w:rsid w:val="0054339B"/>
    <w:rsid w:val="00544C54"/>
    <w:rsid w:val="00545231"/>
    <w:rsid w:val="00546BFC"/>
    <w:rsid w:val="00547167"/>
    <w:rsid w:val="005500F2"/>
    <w:rsid w:val="00551704"/>
    <w:rsid w:val="0055243C"/>
    <w:rsid w:val="0055404F"/>
    <w:rsid w:val="005557BC"/>
    <w:rsid w:val="00561A27"/>
    <w:rsid w:val="00561A55"/>
    <w:rsid w:val="00561B58"/>
    <w:rsid w:val="005627C5"/>
    <w:rsid w:val="00563B42"/>
    <w:rsid w:val="00564743"/>
    <w:rsid w:val="00564F96"/>
    <w:rsid w:val="005654CD"/>
    <w:rsid w:val="005661B0"/>
    <w:rsid w:val="005707ED"/>
    <w:rsid w:val="00570E7B"/>
    <w:rsid w:val="00571B49"/>
    <w:rsid w:val="005726EB"/>
    <w:rsid w:val="00573CDD"/>
    <w:rsid w:val="005743AE"/>
    <w:rsid w:val="00574649"/>
    <w:rsid w:val="00576B86"/>
    <w:rsid w:val="005818E3"/>
    <w:rsid w:val="00587659"/>
    <w:rsid w:val="005877C3"/>
    <w:rsid w:val="00587FB6"/>
    <w:rsid w:val="005902BC"/>
    <w:rsid w:val="00594182"/>
    <w:rsid w:val="0059434A"/>
    <w:rsid w:val="00594648"/>
    <w:rsid w:val="005966E6"/>
    <w:rsid w:val="005A02F5"/>
    <w:rsid w:val="005A1A5E"/>
    <w:rsid w:val="005A29E4"/>
    <w:rsid w:val="005A69F3"/>
    <w:rsid w:val="005A7046"/>
    <w:rsid w:val="005B0185"/>
    <w:rsid w:val="005B06D5"/>
    <w:rsid w:val="005B1A12"/>
    <w:rsid w:val="005B3831"/>
    <w:rsid w:val="005B4362"/>
    <w:rsid w:val="005B4E32"/>
    <w:rsid w:val="005B50E0"/>
    <w:rsid w:val="005B5111"/>
    <w:rsid w:val="005B6F77"/>
    <w:rsid w:val="005B7030"/>
    <w:rsid w:val="005B7348"/>
    <w:rsid w:val="005B7EBD"/>
    <w:rsid w:val="005C2254"/>
    <w:rsid w:val="005C304B"/>
    <w:rsid w:val="005C3729"/>
    <w:rsid w:val="005C4B4A"/>
    <w:rsid w:val="005C6C13"/>
    <w:rsid w:val="005C7F55"/>
    <w:rsid w:val="005D0137"/>
    <w:rsid w:val="005D137D"/>
    <w:rsid w:val="005D20C0"/>
    <w:rsid w:val="005D3A92"/>
    <w:rsid w:val="005D64CA"/>
    <w:rsid w:val="005E1CE0"/>
    <w:rsid w:val="005E30BE"/>
    <w:rsid w:val="005E5717"/>
    <w:rsid w:val="005E651D"/>
    <w:rsid w:val="005E6DB2"/>
    <w:rsid w:val="005E7652"/>
    <w:rsid w:val="005F2FC8"/>
    <w:rsid w:val="005F2FFC"/>
    <w:rsid w:val="005F3242"/>
    <w:rsid w:val="005F3508"/>
    <w:rsid w:val="005F47B5"/>
    <w:rsid w:val="005F6044"/>
    <w:rsid w:val="005F6961"/>
    <w:rsid w:val="0060003C"/>
    <w:rsid w:val="00601F24"/>
    <w:rsid w:val="00602F38"/>
    <w:rsid w:val="00603B29"/>
    <w:rsid w:val="006047FF"/>
    <w:rsid w:val="00604F96"/>
    <w:rsid w:val="00607EEE"/>
    <w:rsid w:val="00611E28"/>
    <w:rsid w:val="00612110"/>
    <w:rsid w:val="006121A4"/>
    <w:rsid w:val="0061433E"/>
    <w:rsid w:val="00614AFD"/>
    <w:rsid w:val="00617B46"/>
    <w:rsid w:val="00623386"/>
    <w:rsid w:val="0062457B"/>
    <w:rsid w:val="0062751D"/>
    <w:rsid w:val="00627E59"/>
    <w:rsid w:val="0063060F"/>
    <w:rsid w:val="00631AD0"/>
    <w:rsid w:val="00632E09"/>
    <w:rsid w:val="006333CA"/>
    <w:rsid w:val="00634CD0"/>
    <w:rsid w:val="006354AA"/>
    <w:rsid w:val="00635CDA"/>
    <w:rsid w:val="00637FE8"/>
    <w:rsid w:val="00640251"/>
    <w:rsid w:val="00640ED2"/>
    <w:rsid w:val="00643E98"/>
    <w:rsid w:val="0064495B"/>
    <w:rsid w:val="00644D9D"/>
    <w:rsid w:val="00645F3C"/>
    <w:rsid w:val="0064626D"/>
    <w:rsid w:val="00646932"/>
    <w:rsid w:val="00650499"/>
    <w:rsid w:val="00650F56"/>
    <w:rsid w:val="006518E2"/>
    <w:rsid w:val="0065266E"/>
    <w:rsid w:val="006610BE"/>
    <w:rsid w:val="00661AFA"/>
    <w:rsid w:val="006623E2"/>
    <w:rsid w:val="00666199"/>
    <w:rsid w:val="0067235A"/>
    <w:rsid w:val="006726BF"/>
    <w:rsid w:val="00672FA1"/>
    <w:rsid w:val="00677B77"/>
    <w:rsid w:val="00682589"/>
    <w:rsid w:val="00683FC3"/>
    <w:rsid w:val="00685125"/>
    <w:rsid w:val="0068557D"/>
    <w:rsid w:val="0068718A"/>
    <w:rsid w:val="00687B17"/>
    <w:rsid w:val="00687CBC"/>
    <w:rsid w:val="00690D9F"/>
    <w:rsid w:val="00692FDF"/>
    <w:rsid w:val="00695BF4"/>
    <w:rsid w:val="006A230E"/>
    <w:rsid w:val="006A2739"/>
    <w:rsid w:val="006A36E8"/>
    <w:rsid w:val="006A3EBE"/>
    <w:rsid w:val="006A44A1"/>
    <w:rsid w:val="006A6990"/>
    <w:rsid w:val="006A77DC"/>
    <w:rsid w:val="006A7A2A"/>
    <w:rsid w:val="006B0AFE"/>
    <w:rsid w:val="006B0D81"/>
    <w:rsid w:val="006B1B20"/>
    <w:rsid w:val="006B1DB5"/>
    <w:rsid w:val="006B3CF5"/>
    <w:rsid w:val="006B5C95"/>
    <w:rsid w:val="006B637E"/>
    <w:rsid w:val="006B71D5"/>
    <w:rsid w:val="006C0A63"/>
    <w:rsid w:val="006C1023"/>
    <w:rsid w:val="006C2D83"/>
    <w:rsid w:val="006C4BF6"/>
    <w:rsid w:val="006C5623"/>
    <w:rsid w:val="006C7113"/>
    <w:rsid w:val="006C73F6"/>
    <w:rsid w:val="006C79F0"/>
    <w:rsid w:val="006D0306"/>
    <w:rsid w:val="006D164B"/>
    <w:rsid w:val="006D1C34"/>
    <w:rsid w:val="006D2441"/>
    <w:rsid w:val="006D2A3A"/>
    <w:rsid w:val="006D2C1F"/>
    <w:rsid w:val="006D3316"/>
    <w:rsid w:val="006D6E67"/>
    <w:rsid w:val="006D731E"/>
    <w:rsid w:val="006E14B0"/>
    <w:rsid w:val="006E1CC5"/>
    <w:rsid w:val="006E2A75"/>
    <w:rsid w:val="006E592D"/>
    <w:rsid w:val="006E5EE7"/>
    <w:rsid w:val="006F0108"/>
    <w:rsid w:val="006F3D84"/>
    <w:rsid w:val="006F68CA"/>
    <w:rsid w:val="006F71CE"/>
    <w:rsid w:val="007019A0"/>
    <w:rsid w:val="00704AE6"/>
    <w:rsid w:val="00704DFF"/>
    <w:rsid w:val="00706450"/>
    <w:rsid w:val="00707709"/>
    <w:rsid w:val="00707EAC"/>
    <w:rsid w:val="007108EB"/>
    <w:rsid w:val="00710A23"/>
    <w:rsid w:val="00713F24"/>
    <w:rsid w:val="007153A2"/>
    <w:rsid w:val="00715FAB"/>
    <w:rsid w:val="00716B29"/>
    <w:rsid w:val="00716CF7"/>
    <w:rsid w:val="00716D04"/>
    <w:rsid w:val="007172CE"/>
    <w:rsid w:val="00723CC4"/>
    <w:rsid w:val="00724A68"/>
    <w:rsid w:val="00724D51"/>
    <w:rsid w:val="0072696D"/>
    <w:rsid w:val="007271BF"/>
    <w:rsid w:val="0073022B"/>
    <w:rsid w:val="00730DD3"/>
    <w:rsid w:val="00732297"/>
    <w:rsid w:val="00733224"/>
    <w:rsid w:val="0073376F"/>
    <w:rsid w:val="007338E6"/>
    <w:rsid w:val="007348F8"/>
    <w:rsid w:val="00735656"/>
    <w:rsid w:val="00735713"/>
    <w:rsid w:val="00735CB6"/>
    <w:rsid w:val="007372CB"/>
    <w:rsid w:val="00737DEC"/>
    <w:rsid w:val="00737F22"/>
    <w:rsid w:val="00740F49"/>
    <w:rsid w:val="007411B9"/>
    <w:rsid w:val="007411DA"/>
    <w:rsid w:val="00741BD9"/>
    <w:rsid w:val="007424A3"/>
    <w:rsid w:val="007424F7"/>
    <w:rsid w:val="00743948"/>
    <w:rsid w:val="00744C26"/>
    <w:rsid w:val="007457F2"/>
    <w:rsid w:val="00745958"/>
    <w:rsid w:val="00750841"/>
    <w:rsid w:val="0075168F"/>
    <w:rsid w:val="00752419"/>
    <w:rsid w:val="0075265E"/>
    <w:rsid w:val="00753A8C"/>
    <w:rsid w:val="00755138"/>
    <w:rsid w:val="007556E1"/>
    <w:rsid w:val="00764128"/>
    <w:rsid w:val="00765363"/>
    <w:rsid w:val="007655C0"/>
    <w:rsid w:val="00770369"/>
    <w:rsid w:val="0077096D"/>
    <w:rsid w:val="0077255F"/>
    <w:rsid w:val="00774FC1"/>
    <w:rsid w:val="007751AC"/>
    <w:rsid w:val="007753AF"/>
    <w:rsid w:val="00775B12"/>
    <w:rsid w:val="00780867"/>
    <w:rsid w:val="00781B14"/>
    <w:rsid w:val="007824B8"/>
    <w:rsid w:val="00782FF9"/>
    <w:rsid w:val="00783E9A"/>
    <w:rsid w:val="0078430E"/>
    <w:rsid w:val="007847D4"/>
    <w:rsid w:val="007910DD"/>
    <w:rsid w:val="00791D65"/>
    <w:rsid w:val="00793963"/>
    <w:rsid w:val="00794B94"/>
    <w:rsid w:val="00794D7E"/>
    <w:rsid w:val="00794DB1"/>
    <w:rsid w:val="0079524B"/>
    <w:rsid w:val="007A18B7"/>
    <w:rsid w:val="007A19D0"/>
    <w:rsid w:val="007A2560"/>
    <w:rsid w:val="007A3EC1"/>
    <w:rsid w:val="007A419B"/>
    <w:rsid w:val="007B3368"/>
    <w:rsid w:val="007B78D8"/>
    <w:rsid w:val="007B7F99"/>
    <w:rsid w:val="007C2C2F"/>
    <w:rsid w:val="007C3C1D"/>
    <w:rsid w:val="007C4E09"/>
    <w:rsid w:val="007C4EFF"/>
    <w:rsid w:val="007C62BD"/>
    <w:rsid w:val="007C6398"/>
    <w:rsid w:val="007C7E0A"/>
    <w:rsid w:val="007D0A69"/>
    <w:rsid w:val="007D1046"/>
    <w:rsid w:val="007D196E"/>
    <w:rsid w:val="007D1F15"/>
    <w:rsid w:val="007D3199"/>
    <w:rsid w:val="007D4759"/>
    <w:rsid w:val="007D4A70"/>
    <w:rsid w:val="007D6607"/>
    <w:rsid w:val="007D6DC4"/>
    <w:rsid w:val="007E14F9"/>
    <w:rsid w:val="007E285E"/>
    <w:rsid w:val="007E428E"/>
    <w:rsid w:val="007E5C03"/>
    <w:rsid w:val="007F1C02"/>
    <w:rsid w:val="007F31B3"/>
    <w:rsid w:val="007F790E"/>
    <w:rsid w:val="007F7C67"/>
    <w:rsid w:val="0080031F"/>
    <w:rsid w:val="00803317"/>
    <w:rsid w:val="00803652"/>
    <w:rsid w:val="00804765"/>
    <w:rsid w:val="008047C3"/>
    <w:rsid w:val="00804D77"/>
    <w:rsid w:val="00805CA4"/>
    <w:rsid w:val="00816235"/>
    <w:rsid w:val="008162CE"/>
    <w:rsid w:val="008173EF"/>
    <w:rsid w:val="008207B4"/>
    <w:rsid w:val="008210BE"/>
    <w:rsid w:val="00821675"/>
    <w:rsid w:val="00821B2F"/>
    <w:rsid w:val="00823F1C"/>
    <w:rsid w:val="0082585C"/>
    <w:rsid w:val="00825F7F"/>
    <w:rsid w:val="008268D9"/>
    <w:rsid w:val="00827798"/>
    <w:rsid w:val="00830C89"/>
    <w:rsid w:val="0083155E"/>
    <w:rsid w:val="008321DE"/>
    <w:rsid w:val="008335C0"/>
    <w:rsid w:val="00833762"/>
    <w:rsid w:val="008347EB"/>
    <w:rsid w:val="008371F1"/>
    <w:rsid w:val="00840AAE"/>
    <w:rsid w:val="008410D7"/>
    <w:rsid w:val="008411B9"/>
    <w:rsid w:val="00843BE9"/>
    <w:rsid w:val="00843C29"/>
    <w:rsid w:val="00843C51"/>
    <w:rsid w:val="00844212"/>
    <w:rsid w:val="00845007"/>
    <w:rsid w:val="008451EC"/>
    <w:rsid w:val="00846164"/>
    <w:rsid w:val="0084679E"/>
    <w:rsid w:val="00846FB4"/>
    <w:rsid w:val="008479E2"/>
    <w:rsid w:val="00847ADB"/>
    <w:rsid w:val="008505B3"/>
    <w:rsid w:val="008522EE"/>
    <w:rsid w:val="00853463"/>
    <w:rsid w:val="00853522"/>
    <w:rsid w:val="00853914"/>
    <w:rsid w:val="00853EFB"/>
    <w:rsid w:val="00860ADF"/>
    <w:rsid w:val="008619E5"/>
    <w:rsid w:val="00861BF4"/>
    <w:rsid w:val="00863DE1"/>
    <w:rsid w:val="0086555A"/>
    <w:rsid w:val="00865E19"/>
    <w:rsid w:val="00866F9C"/>
    <w:rsid w:val="008721EC"/>
    <w:rsid w:val="0087226A"/>
    <w:rsid w:val="008726EF"/>
    <w:rsid w:val="00872CDB"/>
    <w:rsid w:val="00872F20"/>
    <w:rsid w:val="00874B17"/>
    <w:rsid w:val="00874C6B"/>
    <w:rsid w:val="008750CF"/>
    <w:rsid w:val="0087549C"/>
    <w:rsid w:val="00875DB4"/>
    <w:rsid w:val="0087739B"/>
    <w:rsid w:val="00877A1F"/>
    <w:rsid w:val="00877B5B"/>
    <w:rsid w:val="00880100"/>
    <w:rsid w:val="008847C0"/>
    <w:rsid w:val="00885494"/>
    <w:rsid w:val="00885732"/>
    <w:rsid w:val="0088608F"/>
    <w:rsid w:val="0088676B"/>
    <w:rsid w:val="00886AAC"/>
    <w:rsid w:val="00886BC6"/>
    <w:rsid w:val="00887D52"/>
    <w:rsid w:val="00887ECE"/>
    <w:rsid w:val="00890389"/>
    <w:rsid w:val="0089091E"/>
    <w:rsid w:val="0089368E"/>
    <w:rsid w:val="00893F25"/>
    <w:rsid w:val="00894A10"/>
    <w:rsid w:val="00895035"/>
    <w:rsid w:val="008950D6"/>
    <w:rsid w:val="008A3800"/>
    <w:rsid w:val="008A381F"/>
    <w:rsid w:val="008A39BF"/>
    <w:rsid w:val="008A5E3B"/>
    <w:rsid w:val="008A78F1"/>
    <w:rsid w:val="008B1646"/>
    <w:rsid w:val="008B2B14"/>
    <w:rsid w:val="008B40BE"/>
    <w:rsid w:val="008B43FF"/>
    <w:rsid w:val="008B5D04"/>
    <w:rsid w:val="008B5FD0"/>
    <w:rsid w:val="008B7799"/>
    <w:rsid w:val="008C09CD"/>
    <w:rsid w:val="008C1E5A"/>
    <w:rsid w:val="008C2126"/>
    <w:rsid w:val="008C39DD"/>
    <w:rsid w:val="008C4B99"/>
    <w:rsid w:val="008C6AED"/>
    <w:rsid w:val="008C7604"/>
    <w:rsid w:val="008C7C40"/>
    <w:rsid w:val="008C7EBB"/>
    <w:rsid w:val="008D21E7"/>
    <w:rsid w:val="008D3175"/>
    <w:rsid w:val="008D36B5"/>
    <w:rsid w:val="008D389A"/>
    <w:rsid w:val="008D3C8C"/>
    <w:rsid w:val="008D75E3"/>
    <w:rsid w:val="008D7A2E"/>
    <w:rsid w:val="008E0008"/>
    <w:rsid w:val="008E10C0"/>
    <w:rsid w:val="008E1B27"/>
    <w:rsid w:val="008E2F82"/>
    <w:rsid w:val="008E6941"/>
    <w:rsid w:val="008E6BA8"/>
    <w:rsid w:val="008F2033"/>
    <w:rsid w:val="0090301A"/>
    <w:rsid w:val="00903379"/>
    <w:rsid w:val="009035E1"/>
    <w:rsid w:val="0090582A"/>
    <w:rsid w:val="00905DDD"/>
    <w:rsid w:val="009060DE"/>
    <w:rsid w:val="00906975"/>
    <w:rsid w:val="00906FDD"/>
    <w:rsid w:val="00917F0B"/>
    <w:rsid w:val="00917F8B"/>
    <w:rsid w:val="0092087B"/>
    <w:rsid w:val="00920B6D"/>
    <w:rsid w:val="009252DB"/>
    <w:rsid w:val="009302B2"/>
    <w:rsid w:val="00931244"/>
    <w:rsid w:val="00933D60"/>
    <w:rsid w:val="00934607"/>
    <w:rsid w:val="0093490B"/>
    <w:rsid w:val="00934FEF"/>
    <w:rsid w:val="00936ED2"/>
    <w:rsid w:val="009374C9"/>
    <w:rsid w:val="0094103C"/>
    <w:rsid w:val="00943ACB"/>
    <w:rsid w:val="009447FE"/>
    <w:rsid w:val="00944C5E"/>
    <w:rsid w:val="00952C31"/>
    <w:rsid w:val="00953EFE"/>
    <w:rsid w:val="00955D8E"/>
    <w:rsid w:val="00957C05"/>
    <w:rsid w:val="00960964"/>
    <w:rsid w:val="00961101"/>
    <w:rsid w:val="0096272E"/>
    <w:rsid w:val="009636EC"/>
    <w:rsid w:val="009646B4"/>
    <w:rsid w:val="00965E4D"/>
    <w:rsid w:val="00975B92"/>
    <w:rsid w:val="00975E69"/>
    <w:rsid w:val="00980A29"/>
    <w:rsid w:val="009822B9"/>
    <w:rsid w:val="00982EAC"/>
    <w:rsid w:val="009842F4"/>
    <w:rsid w:val="00985006"/>
    <w:rsid w:val="00985DF3"/>
    <w:rsid w:val="009867E6"/>
    <w:rsid w:val="009908AB"/>
    <w:rsid w:val="009949C8"/>
    <w:rsid w:val="009957B2"/>
    <w:rsid w:val="00997601"/>
    <w:rsid w:val="009A0972"/>
    <w:rsid w:val="009A09A4"/>
    <w:rsid w:val="009A0EA2"/>
    <w:rsid w:val="009A1341"/>
    <w:rsid w:val="009A1511"/>
    <w:rsid w:val="009A23CB"/>
    <w:rsid w:val="009A23E9"/>
    <w:rsid w:val="009A27DC"/>
    <w:rsid w:val="009A4A8B"/>
    <w:rsid w:val="009A4FAA"/>
    <w:rsid w:val="009A760D"/>
    <w:rsid w:val="009A7EE3"/>
    <w:rsid w:val="009B1D5C"/>
    <w:rsid w:val="009B4D9D"/>
    <w:rsid w:val="009B5415"/>
    <w:rsid w:val="009B7DAF"/>
    <w:rsid w:val="009C2E31"/>
    <w:rsid w:val="009C51FD"/>
    <w:rsid w:val="009C5C25"/>
    <w:rsid w:val="009C5FE5"/>
    <w:rsid w:val="009C7151"/>
    <w:rsid w:val="009C7545"/>
    <w:rsid w:val="009D1A76"/>
    <w:rsid w:val="009D3024"/>
    <w:rsid w:val="009D4EE7"/>
    <w:rsid w:val="009D62B4"/>
    <w:rsid w:val="009D743F"/>
    <w:rsid w:val="009E006E"/>
    <w:rsid w:val="009E1674"/>
    <w:rsid w:val="009E1955"/>
    <w:rsid w:val="009E5423"/>
    <w:rsid w:val="009E5B4D"/>
    <w:rsid w:val="009E630A"/>
    <w:rsid w:val="009E6DA3"/>
    <w:rsid w:val="009F27DF"/>
    <w:rsid w:val="009F320D"/>
    <w:rsid w:val="009F3395"/>
    <w:rsid w:val="009F343D"/>
    <w:rsid w:val="009F367C"/>
    <w:rsid w:val="009F4CF4"/>
    <w:rsid w:val="009F5507"/>
    <w:rsid w:val="009F78CD"/>
    <w:rsid w:val="009F79E5"/>
    <w:rsid w:val="00A01F55"/>
    <w:rsid w:val="00A03CFB"/>
    <w:rsid w:val="00A040FD"/>
    <w:rsid w:val="00A04642"/>
    <w:rsid w:val="00A04CB6"/>
    <w:rsid w:val="00A04F0D"/>
    <w:rsid w:val="00A05335"/>
    <w:rsid w:val="00A05768"/>
    <w:rsid w:val="00A062C7"/>
    <w:rsid w:val="00A07A7B"/>
    <w:rsid w:val="00A07CFE"/>
    <w:rsid w:val="00A12180"/>
    <w:rsid w:val="00A126C8"/>
    <w:rsid w:val="00A131B6"/>
    <w:rsid w:val="00A13F4C"/>
    <w:rsid w:val="00A14CAA"/>
    <w:rsid w:val="00A1628C"/>
    <w:rsid w:val="00A1719A"/>
    <w:rsid w:val="00A17999"/>
    <w:rsid w:val="00A20E53"/>
    <w:rsid w:val="00A241A6"/>
    <w:rsid w:val="00A27233"/>
    <w:rsid w:val="00A2786F"/>
    <w:rsid w:val="00A27B52"/>
    <w:rsid w:val="00A30AAD"/>
    <w:rsid w:val="00A32A52"/>
    <w:rsid w:val="00A340A2"/>
    <w:rsid w:val="00A365AF"/>
    <w:rsid w:val="00A369C2"/>
    <w:rsid w:val="00A37049"/>
    <w:rsid w:val="00A37FE6"/>
    <w:rsid w:val="00A40025"/>
    <w:rsid w:val="00A421CE"/>
    <w:rsid w:val="00A42B2F"/>
    <w:rsid w:val="00A4478E"/>
    <w:rsid w:val="00A4517F"/>
    <w:rsid w:val="00A45DCC"/>
    <w:rsid w:val="00A462AA"/>
    <w:rsid w:val="00A46C64"/>
    <w:rsid w:val="00A47CBD"/>
    <w:rsid w:val="00A51782"/>
    <w:rsid w:val="00A51808"/>
    <w:rsid w:val="00A527AA"/>
    <w:rsid w:val="00A52840"/>
    <w:rsid w:val="00A52EFE"/>
    <w:rsid w:val="00A53BFB"/>
    <w:rsid w:val="00A5486A"/>
    <w:rsid w:val="00A55F56"/>
    <w:rsid w:val="00A56013"/>
    <w:rsid w:val="00A5684D"/>
    <w:rsid w:val="00A57E8A"/>
    <w:rsid w:val="00A64003"/>
    <w:rsid w:val="00A6563B"/>
    <w:rsid w:val="00A66A07"/>
    <w:rsid w:val="00A66D21"/>
    <w:rsid w:val="00A67CE2"/>
    <w:rsid w:val="00A72614"/>
    <w:rsid w:val="00A74BD3"/>
    <w:rsid w:val="00A75C61"/>
    <w:rsid w:val="00A76561"/>
    <w:rsid w:val="00A83A47"/>
    <w:rsid w:val="00A85318"/>
    <w:rsid w:val="00A863AD"/>
    <w:rsid w:val="00A90267"/>
    <w:rsid w:val="00A904BD"/>
    <w:rsid w:val="00A916F9"/>
    <w:rsid w:val="00A93C3D"/>
    <w:rsid w:val="00A95E2D"/>
    <w:rsid w:val="00A9601B"/>
    <w:rsid w:val="00AA0FDC"/>
    <w:rsid w:val="00AA1CF3"/>
    <w:rsid w:val="00AA589B"/>
    <w:rsid w:val="00AA5C69"/>
    <w:rsid w:val="00AA635F"/>
    <w:rsid w:val="00AA6B43"/>
    <w:rsid w:val="00AB0320"/>
    <w:rsid w:val="00AB05E1"/>
    <w:rsid w:val="00AB0EB3"/>
    <w:rsid w:val="00AB1DAA"/>
    <w:rsid w:val="00AB2D6F"/>
    <w:rsid w:val="00AB3262"/>
    <w:rsid w:val="00AB3E40"/>
    <w:rsid w:val="00AB6B6C"/>
    <w:rsid w:val="00AB7B11"/>
    <w:rsid w:val="00AC0AE2"/>
    <w:rsid w:val="00AC0DDF"/>
    <w:rsid w:val="00AC1163"/>
    <w:rsid w:val="00AC14DC"/>
    <w:rsid w:val="00AC4B94"/>
    <w:rsid w:val="00AC5FBF"/>
    <w:rsid w:val="00AD0248"/>
    <w:rsid w:val="00AD100E"/>
    <w:rsid w:val="00AD1634"/>
    <w:rsid w:val="00AD1A48"/>
    <w:rsid w:val="00AD2139"/>
    <w:rsid w:val="00AD5AB0"/>
    <w:rsid w:val="00AD5ADE"/>
    <w:rsid w:val="00AD60E8"/>
    <w:rsid w:val="00AE1D47"/>
    <w:rsid w:val="00AE1E36"/>
    <w:rsid w:val="00AE25EB"/>
    <w:rsid w:val="00AE37C2"/>
    <w:rsid w:val="00AE38E6"/>
    <w:rsid w:val="00AE7A84"/>
    <w:rsid w:val="00AF086E"/>
    <w:rsid w:val="00AF29C3"/>
    <w:rsid w:val="00AF34EC"/>
    <w:rsid w:val="00AF635C"/>
    <w:rsid w:val="00AF6A32"/>
    <w:rsid w:val="00AF7443"/>
    <w:rsid w:val="00AF74AA"/>
    <w:rsid w:val="00B00F99"/>
    <w:rsid w:val="00B03323"/>
    <w:rsid w:val="00B03C2F"/>
    <w:rsid w:val="00B1123C"/>
    <w:rsid w:val="00B1270E"/>
    <w:rsid w:val="00B12CA2"/>
    <w:rsid w:val="00B12F67"/>
    <w:rsid w:val="00B15064"/>
    <w:rsid w:val="00B15B87"/>
    <w:rsid w:val="00B17BE7"/>
    <w:rsid w:val="00B205B6"/>
    <w:rsid w:val="00B218BB"/>
    <w:rsid w:val="00B244FC"/>
    <w:rsid w:val="00B258B2"/>
    <w:rsid w:val="00B25B86"/>
    <w:rsid w:val="00B26326"/>
    <w:rsid w:val="00B31ECE"/>
    <w:rsid w:val="00B3218D"/>
    <w:rsid w:val="00B340A3"/>
    <w:rsid w:val="00B36F5E"/>
    <w:rsid w:val="00B37A08"/>
    <w:rsid w:val="00B410F5"/>
    <w:rsid w:val="00B418D2"/>
    <w:rsid w:val="00B422C2"/>
    <w:rsid w:val="00B4249A"/>
    <w:rsid w:val="00B438AC"/>
    <w:rsid w:val="00B43A22"/>
    <w:rsid w:val="00B444CC"/>
    <w:rsid w:val="00B4513F"/>
    <w:rsid w:val="00B4557D"/>
    <w:rsid w:val="00B45F66"/>
    <w:rsid w:val="00B460CB"/>
    <w:rsid w:val="00B46B23"/>
    <w:rsid w:val="00B4722E"/>
    <w:rsid w:val="00B51203"/>
    <w:rsid w:val="00B51A6E"/>
    <w:rsid w:val="00B5244D"/>
    <w:rsid w:val="00B546CE"/>
    <w:rsid w:val="00B54F55"/>
    <w:rsid w:val="00B559E2"/>
    <w:rsid w:val="00B6280C"/>
    <w:rsid w:val="00B63AF1"/>
    <w:rsid w:val="00B63BA3"/>
    <w:rsid w:val="00B63E23"/>
    <w:rsid w:val="00B647CB"/>
    <w:rsid w:val="00B6516E"/>
    <w:rsid w:val="00B6605E"/>
    <w:rsid w:val="00B66A3E"/>
    <w:rsid w:val="00B671A4"/>
    <w:rsid w:val="00B673A8"/>
    <w:rsid w:val="00B71DA3"/>
    <w:rsid w:val="00B72164"/>
    <w:rsid w:val="00B72CD4"/>
    <w:rsid w:val="00B739C1"/>
    <w:rsid w:val="00B73AB8"/>
    <w:rsid w:val="00B73CF1"/>
    <w:rsid w:val="00B73DD5"/>
    <w:rsid w:val="00B74494"/>
    <w:rsid w:val="00B76038"/>
    <w:rsid w:val="00B76131"/>
    <w:rsid w:val="00B82F2A"/>
    <w:rsid w:val="00B84ECE"/>
    <w:rsid w:val="00B84F04"/>
    <w:rsid w:val="00B85B00"/>
    <w:rsid w:val="00B86533"/>
    <w:rsid w:val="00B87CD7"/>
    <w:rsid w:val="00B90CF3"/>
    <w:rsid w:val="00B92BAD"/>
    <w:rsid w:val="00B94388"/>
    <w:rsid w:val="00B9485F"/>
    <w:rsid w:val="00BA02F1"/>
    <w:rsid w:val="00BA051D"/>
    <w:rsid w:val="00BA1CFA"/>
    <w:rsid w:val="00BA2B93"/>
    <w:rsid w:val="00BA378F"/>
    <w:rsid w:val="00BA4100"/>
    <w:rsid w:val="00BA502E"/>
    <w:rsid w:val="00BA554A"/>
    <w:rsid w:val="00BA6D37"/>
    <w:rsid w:val="00BB1A85"/>
    <w:rsid w:val="00BB32EC"/>
    <w:rsid w:val="00BB4C04"/>
    <w:rsid w:val="00BB7F0D"/>
    <w:rsid w:val="00BC33C3"/>
    <w:rsid w:val="00BC3BC2"/>
    <w:rsid w:val="00BC4CFC"/>
    <w:rsid w:val="00BC7BE0"/>
    <w:rsid w:val="00BD1383"/>
    <w:rsid w:val="00BD1448"/>
    <w:rsid w:val="00BD1EBF"/>
    <w:rsid w:val="00BD765C"/>
    <w:rsid w:val="00BE0834"/>
    <w:rsid w:val="00BE2747"/>
    <w:rsid w:val="00BE3467"/>
    <w:rsid w:val="00BE38F0"/>
    <w:rsid w:val="00BE56B0"/>
    <w:rsid w:val="00BE5835"/>
    <w:rsid w:val="00BE75D7"/>
    <w:rsid w:val="00BE7D51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687"/>
    <w:rsid w:val="00C04B40"/>
    <w:rsid w:val="00C04E79"/>
    <w:rsid w:val="00C070BF"/>
    <w:rsid w:val="00C11B5D"/>
    <w:rsid w:val="00C1200C"/>
    <w:rsid w:val="00C13878"/>
    <w:rsid w:val="00C1396D"/>
    <w:rsid w:val="00C14003"/>
    <w:rsid w:val="00C15EEB"/>
    <w:rsid w:val="00C174F2"/>
    <w:rsid w:val="00C22A1D"/>
    <w:rsid w:val="00C22AA4"/>
    <w:rsid w:val="00C22AE9"/>
    <w:rsid w:val="00C24F15"/>
    <w:rsid w:val="00C265EF"/>
    <w:rsid w:val="00C266DE"/>
    <w:rsid w:val="00C26B0F"/>
    <w:rsid w:val="00C319B8"/>
    <w:rsid w:val="00C33C75"/>
    <w:rsid w:val="00C34424"/>
    <w:rsid w:val="00C35198"/>
    <w:rsid w:val="00C36BEF"/>
    <w:rsid w:val="00C40176"/>
    <w:rsid w:val="00C409CE"/>
    <w:rsid w:val="00C41472"/>
    <w:rsid w:val="00C41AE7"/>
    <w:rsid w:val="00C433BE"/>
    <w:rsid w:val="00C443A7"/>
    <w:rsid w:val="00C44FA4"/>
    <w:rsid w:val="00C44FE6"/>
    <w:rsid w:val="00C46B12"/>
    <w:rsid w:val="00C51EC0"/>
    <w:rsid w:val="00C5221B"/>
    <w:rsid w:val="00C52C97"/>
    <w:rsid w:val="00C5459B"/>
    <w:rsid w:val="00C563A2"/>
    <w:rsid w:val="00C57820"/>
    <w:rsid w:val="00C654F5"/>
    <w:rsid w:val="00C66400"/>
    <w:rsid w:val="00C7033E"/>
    <w:rsid w:val="00C71C22"/>
    <w:rsid w:val="00C71C82"/>
    <w:rsid w:val="00C77515"/>
    <w:rsid w:val="00C777DD"/>
    <w:rsid w:val="00C8108C"/>
    <w:rsid w:val="00C82287"/>
    <w:rsid w:val="00C83D04"/>
    <w:rsid w:val="00C83F82"/>
    <w:rsid w:val="00C849F1"/>
    <w:rsid w:val="00C84D62"/>
    <w:rsid w:val="00C87C3D"/>
    <w:rsid w:val="00C9058E"/>
    <w:rsid w:val="00C90833"/>
    <w:rsid w:val="00C90F4E"/>
    <w:rsid w:val="00C920BB"/>
    <w:rsid w:val="00C923DC"/>
    <w:rsid w:val="00C9279F"/>
    <w:rsid w:val="00C94B26"/>
    <w:rsid w:val="00CA061C"/>
    <w:rsid w:val="00CA06BA"/>
    <w:rsid w:val="00CA072D"/>
    <w:rsid w:val="00CA0B2B"/>
    <w:rsid w:val="00CA1058"/>
    <w:rsid w:val="00CA1705"/>
    <w:rsid w:val="00CA3BDA"/>
    <w:rsid w:val="00CA4576"/>
    <w:rsid w:val="00CA47A1"/>
    <w:rsid w:val="00CA4F44"/>
    <w:rsid w:val="00CA7203"/>
    <w:rsid w:val="00CB144E"/>
    <w:rsid w:val="00CB18AC"/>
    <w:rsid w:val="00CB2029"/>
    <w:rsid w:val="00CB221B"/>
    <w:rsid w:val="00CB523D"/>
    <w:rsid w:val="00CB5374"/>
    <w:rsid w:val="00CB5474"/>
    <w:rsid w:val="00CD1EA5"/>
    <w:rsid w:val="00CD4395"/>
    <w:rsid w:val="00CD5074"/>
    <w:rsid w:val="00CD5166"/>
    <w:rsid w:val="00CD5544"/>
    <w:rsid w:val="00CD57EA"/>
    <w:rsid w:val="00CD7C1E"/>
    <w:rsid w:val="00CE1A40"/>
    <w:rsid w:val="00CE1A54"/>
    <w:rsid w:val="00CE51E5"/>
    <w:rsid w:val="00CE54EF"/>
    <w:rsid w:val="00CE7320"/>
    <w:rsid w:val="00CE7593"/>
    <w:rsid w:val="00CF1B90"/>
    <w:rsid w:val="00CF35E0"/>
    <w:rsid w:val="00CF5FB6"/>
    <w:rsid w:val="00CF69A2"/>
    <w:rsid w:val="00CF7150"/>
    <w:rsid w:val="00D00532"/>
    <w:rsid w:val="00D00577"/>
    <w:rsid w:val="00D00DA0"/>
    <w:rsid w:val="00D02439"/>
    <w:rsid w:val="00D02518"/>
    <w:rsid w:val="00D03BC3"/>
    <w:rsid w:val="00D04B86"/>
    <w:rsid w:val="00D05F10"/>
    <w:rsid w:val="00D0742A"/>
    <w:rsid w:val="00D1080C"/>
    <w:rsid w:val="00D10C75"/>
    <w:rsid w:val="00D10FE9"/>
    <w:rsid w:val="00D11870"/>
    <w:rsid w:val="00D1305B"/>
    <w:rsid w:val="00D15EDE"/>
    <w:rsid w:val="00D17454"/>
    <w:rsid w:val="00D2031B"/>
    <w:rsid w:val="00D203DC"/>
    <w:rsid w:val="00D209C3"/>
    <w:rsid w:val="00D2109D"/>
    <w:rsid w:val="00D21779"/>
    <w:rsid w:val="00D2206D"/>
    <w:rsid w:val="00D2361E"/>
    <w:rsid w:val="00D23D12"/>
    <w:rsid w:val="00D33FBC"/>
    <w:rsid w:val="00D3615E"/>
    <w:rsid w:val="00D366F4"/>
    <w:rsid w:val="00D37762"/>
    <w:rsid w:val="00D37CC6"/>
    <w:rsid w:val="00D41E57"/>
    <w:rsid w:val="00D421C0"/>
    <w:rsid w:val="00D42713"/>
    <w:rsid w:val="00D43CB1"/>
    <w:rsid w:val="00D44454"/>
    <w:rsid w:val="00D444E8"/>
    <w:rsid w:val="00D51953"/>
    <w:rsid w:val="00D5246E"/>
    <w:rsid w:val="00D52978"/>
    <w:rsid w:val="00D52A16"/>
    <w:rsid w:val="00D53092"/>
    <w:rsid w:val="00D54D72"/>
    <w:rsid w:val="00D5600E"/>
    <w:rsid w:val="00D6013C"/>
    <w:rsid w:val="00D61212"/>
    <w:rsid w:val="00D63E2C"/>
    <w:rsid w:val="00D67CF0"/>
    <w:rsid w:val="00D67E38"/>
    <w:rsid w:val="00D72F95"/>
    <w:rsid w:val="00D734FE"/>
    <w:rsid w:val="00D74764"/>
    <w:rsid w:val="00D7535C"/>
    <w:rsid w:val="00D75BA9"/>
    <w:rsid w:val="00D76302"/>
    <w:rsid w:val="00D76540"/>
    <w:rsid w:val="00D76F36"/>
    <w:rsid w:val="00D7799D"/>
    <w:rsid w:val="00D77F0D"/>
    <w:rsid w:val="00D83AB1"/>
    <w:rsid w:val="00D84D4F"/>
    <w:rsid w:val="00D84F13"/>
    <w:rsid w:val="00D9056A"/>
    <w:rsid w:val="00D91019"/>
    <w:rsid w:val="00D914FB"/>
    <w:rsid w:val="00D91EC9"/>
    <w:rsid w:val="00D92635"/>
    <w:rsid w:val="00D93117"/>
    <w:rsid w:val="00D94748"/>
    <w:rsid w:val="00D95BDE"/>
    <w:rsid w:val="00D95F51"/>
    <w:rsid w:val="00DA5CE2"/>
    <w:rsid w:val="00DA7208"/>
    <w:rsid w:val="00DB0BCA"/>
    <w:rsid w:val="00DB294E"/>
    <w:rsid w:val="00DB2B95"/>
    <w:rsid w:val="00DB3250"/>
    <w:rsid w:val="00DB5989"/>
    <w:rsid w:val="00DB7146"/>
    <w:rsid w:val="00DB775F"/>
    <w:rsid w:val="00DB7CFA"/>
    <w:rsid w:val="00DC28D7"/>
    <w:rsid w:val="00DC5B96"/>
    <w:rsid w:val="00DC6496"/>
    <w:rsid w:val="00DD04A7"/>
    <w:rsid w:val="00DD22C1"/>
    <w:rsid w:val="00DD3AD1"/>
    <w:rsid w:val="00DD428E"/>
    <w:rsid w:val="00DD43AB"/>
    <w:rsid w:val="00DD4CDA"/>
    <w:rsid w:val="00DD56A3"/>
    <w:rsid w:val="00DE10E8"/>
    <w:rsid w:val="00DE2707"/>
    <w:rsid w:val="00DE3368"/>
    <w:rsid w:val="00DE6691"/>
    <w:rsid w:val="00DE69E7"/>
    <w:rsid w:val="00DE7608"/>
    <w:rsid w:val="00DF0207"/>
    <w:rsid w:val="00DF1161"/>
    <w:rsid w:val="00DF28EC"/>
    <w:rsid w:val="00DF2D13"/>
    <w:rsid w:val="00DF3E17"/>
    <w:rsid w:val="00DF3FB0"/>
    <w:rsid w:val="00DF48F2"/>
    <w:rsid w:val="00DF4B7E"/>
    <w:rsid w:val="00DF655C"/>
    <w:rsid w:val="00DF73F6"/>
    <w:rsid w:val="00E01172"/>
    <w:rsid w:val="00E01A7E"/>
    <w:rsid w:val="00E01B9C"/>
    <w:rsid w:val="00E02A99"/>
    <w:rsid w:val="00E03DE7"/>
    <w:rsid w:val="00E03FA0"/>
    <w:rsid w:val="00E046A3"/>
    <w:rsid w:val="00E115C6"/>
    <w:rsid w:val="00E1348C"/>
    <w:rsid w:val="00E14305"/>
    <w:rsid w:val="00E1470E"/>
    <w:rsid w:val="00E14FBC"/>
    <w:rsid w:val="00E15401"/>
    <w:rsid w:val="00E16849"/>
    <w:rsid w:val="00E16FDA"/>
    <w:rsid w:val="00E205D0"/>
    <w:rsid w:val="00E20FE1"/>
    <w:rsid w:val="00E22E3D"/>
    <w:rsid w:val="00E24874"/>
    <w:rsid w:val="00E31F08"/>
    <w:rsid w:val="00E34C63"/>
    <w:rsid w:val="00E35F58"/>
    <w:rsid w:val="00E36DAB"/>
    <w:rsid w:val="00E40416"/>
    <w:rsid w:val="00E412C7"/>
    <w:rsid w:val="00E45BD9"/>
    <w:rsid w:val="00E54210"/>
    <w:rsid w:val="00E54DA6"/>
    <w:rsid w:val="00E57A94"/>
    <w:rsid w:val="00E57E7C"/>
    <w:rsid w:val="00E6106E"/>
    <w:rsid w:val="00E63CC7"/>
    <w:rsid w:val="00E64359"/>
    <w:rsid w:val="00E66FFC"/>
    <w:rsid w:val="00E730D6"/>
    <w:rsid w:val="00E741E6"/>
    <w:rsid w:val="00E75564"/>
    <w:rsid w:val="00E759D6"/>
    <w:rsid w:val="00E763F1"/>
    <w:rsid w:val="00E76580"/>
    <w:rsid w:val="00E76C60"/>
    <w:rsid w:val="00E80046"/>
    <w:rsid w:val="00E80423"/>
    <w:rsid w:val="00E83E18"/>
    <w:rsid w:val="00E84A8C"/>
    <w:rsid w:val="00E86E35"/>
    <w:rsid w:val="00E900EF"/>
    <w:rsid w:val="00E90811"/>
    <w:rsid w:val="00E91D59"/>
    <w:rsid w:val="00E94F72"/>
    <w:rsid w:val="00E94FAC"/>
    <w:rsid w:val="00E95502"/>
    <w:rsid w:val="00E95EB3"/>
    <w:rsid w:val="00E976DE"/>
    <w:rsid w:val="00EA12AF"/>
    <w:rsid w:val="00EA4CED"/>
    <w:rsid w:val="00EA6B04"/>
    <w:rsid w:val="00EA7CF6"/>
    <w:rsid w:val="00EB082C"/>
    <w:rsid w:val="00EB0863"/>
    <w:rsid w:val="00EB305A"/>
    <w:rsid w:val="00EB3097"/>
    <w:rsid w:val="00EB38F4"/>
    <w:rsid w:val="00EB3F9F"/>
    <w:rsid w:val="00EB5B95"/>
    <w:rsid w:val="00EC0735"/>
    <w:rsid w:val="00EC0F83"/>
    <w:rsid w:val="00EC147F"/>
    <w:rsid w:val="00EC16F1"/>
    <w:rsid w:val="00EC4B7A"/>
    <w:rsid w:val="00EC5013"/>
    <w:rsid w:val="00EC59C2"/>
    <w:rsid w:val="00EC6CD1"/>
    <w:rsid w:val="00EC6DB5"/>
    <w:rsid w:val="00EC7A53"/>
    <w:rsid w:val="00ED0429"/>
    <w:rsid w:val="00ED10AD"/>
    <w:rsid w:val="00ED1272"/>
    <w:rsid w:val="00ED14C3"/>
    <w:rsid w:val="00ED18F7"/>
    <w:rsid w:val="00ED1F20"/>
    <w:rsid w:val="00ED3BC1"/>
    <w:rsid w:val="00ED4447"/>
    <w:rsid w:val="00ED57D7"/>
    <w:rsid w:val="00EE2AB0"/>
    <w:rsid w:val="00EE3187"/>
    <w:rsid w:val="00EE3D57"/>
    <w:rsid w:val="00EE4C7A"/>
    <w:rsid w:val="00EE58FF"/>
    <w:rsid w:val="00EE5988"/>
    <w:rsid w:val="00EE606A"/>
    <w:rsid w:val="00EF11F5"/>
    <w:rsid w:val="00EF2E74"/>
    <w:rsid w:val="00EF499B"/>
    <w:rsid w:val="00EF4A65"/>
    <w:rsid w:val="00F00C91"/>
    <w:rsid w:val="00F01201"/>
    <w:rsid w:val="00F01E3E"/>
    <w:rsid w:val="00F04511"/>
    <w:rsid w:val="00F04B5C"/>
    <w:rsid w:val="00F05F54"/>
    <w:rsid w:val="00F13CD4"/>
    <w:rsid w:val="00F14977"/>
    <w:rsid w:val="00F15D74"/>
    <w:rsid w:val="00F16F4A"/>
    <w:rsid w:val="00F21ED4"/>
    <w:rsid w:val="00F2254C"/>
    <w:rsid w:val="00F250BA"/>
    <w:rsid w:val="00F25674"/>
    <w:rsid w:val="00F25A55"/>
    <w:rsid w:val="00F25C0D"/>
    <w:rsid w:val="00F27195"/>
    <w:rsid w:val="00F32092"/>
    <w:rsid w:val="00F33C10"/>
    <w:rsid w:val="00F36C58"/>
    <w:rsid w:val="00F414EE"/>
    <w:rsid w:val="00F42D68"/>
    <w:rsid w:val="00F460B8"/>
    <w:rsid w:val="00F460C6"/>
    <w:rsid w:val="00F50342"/>
    <w:rsid w:val="00F521C0"/>
    <w:rsid w:val="00F52357"/>
    <w:rsid w:val="00F542E0"/>
    <w:rsid w:val="00F54E38"/>
    <w:rsid w:val="00F552E4"/>
    <w:rsid w:val="00F5537C"/>
    <w:rsid w:val="00F553F0"/>
    <w:rsid w:val="00F609C4"/>
    <w:rsid w:val="00F6323E"/>
    <w:rsid w:val="00F652C8"/>
    <w:rsid w:val="00F65795"/>
    <w:rsid w:val="00F663A3"/>
    <w:rsid w:val="00F75A19"/>
    <w:rsid w:val="00F761B5"/>
    <w:rsid w:val="00F7795C"/>
    <w:rsid w:val="00F77C9A"/>
    <w:rsid w:val="00F80FB5"/>
    <w:rsid w:val="00F842CC"/>
    <w:rsid w:val="00F863A2"/>
    <w:rsid w:val="00F90976"/>
    <w:rsid w:val="00F928B1"/>
    <w:rsid w:val="00F93FC2"/>
    <w:rsid w:val="00F94BF6"/>
    <w:rsid w:val="00FA13E6"/>
    <w:rsid w:val="00FA4F1C"/>
    <w:rsid w:val="00FA5EE8"/>
    <w:rsid w:val="00FA6BEA"/>
    <w:rsid w:val="00FA6F74"/>
    <w:rsid w:val="00FA7C54"/>
    <w:rsid w:val="00FA7FC7"/>
    <w:rsid w:val="00FB055C"/>
    <w:rsid w:val="00FB0BCA"/>
    <w:rsid w:val="00FB3750"/>
    <w:rsid w:val="00FB4A08"/>
    <w:rsid w:val="00FB52B7"/>
    <w:rsid w:val="00FB545B"/>
    <w:rsid w:val="00FB68F0"/>
    <w:rsid w:val="00FC0C2A"/>
    <w:rsid w:val="00FC2ADA"/>
    <w:rsid w:val="00FC2EFE"/>
    <w:rsid w:val="00FC4408"/>
    <w:rsid w:val="00FC6B7D"/>
    <w:rsid w:val="00FD1B08"/>
    <w:rsid w:val="00FD226A"/>
    <w:rsid w:val="00FD4179"/>
    <w:rsid w:val="00FD4B6F"/>
    <w:rsid w:val="00FD4B8E"/>
    <w:rsid w:val="00FD7F8E"/>
    <w:rsid w:val="00FE0170"/>
    <w:rsid w:val="00FE0F05"/>
    <w:rsid w:val="00FE3B70"/>
    <w:rsid w:val="00FE420F"/>
    <w:rsid w:val="00FE6832"/>
    <w:rsid w:val="00FF03B2"/>
    <w:rsid w:val="00FF0E6D"/>
    <w:rsid w:val="00FF11E4"/>
    <w:rsid w:val="00FF1B3B"/>
    <w:rsid w:val="00FF329E"/>
    <w:rsid w:val="00FF340D"/>
    <w:rsid w:val="00FF43B4"/>
    <w:rsid w:val="00FF558D"/>
    <w:rsid w:val="00FF77A7"/>
    <w:rsid w:val="00FF7AF3"/>
    <w:rsid w:val="01BE7323"/>
    <w:rsid w:val="03CD0E11"/>
    <w:rsid w:val="04B072D4"/>
    <w:rsid w:val="04F512AE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FB2185"/>
    <w:rsid w:val="145F688C"/>
    <w:rsid w:val="15DD2205"/>
    <w:rsid w:val="17072842"/>
    <w:rsid w:val="17A67110"/>
    <w:rsid w:val="1864189B"/>
    <w:rsid w:val="18D73A7D"/>
    <w:rsid w:val="19557370"/>
    <w:rsid w:val="1BD06B6A"/>
    <w:rsid w:val="1D604E1B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ACD534D"/>
    <w:rsid w:val="2BAB04D2"/>
    <w:rsid w:val="2BC4020A"/>
    <w:rsid w:val="2EF90F16"/>
    <w:rsid w:val="2F125C63"/>
    <w:rsid w:val="302C3D0A"/>
    <w:rsid w:val="30787AB3"/>
    <w:rsid w:val="3104598F"/>
    <w:rsid w:val="33DE31BB"/>
    <w:rsid w:val="359C2EFC"/>
    <w:rsid w:val="36A06A1C"/>
    <w:rsid w:val="389C49C0"/>
    <w:rsid w:val="39BC78F4"/>
    <w:rsid w:val="3B35486F"/>
    <w:rsid w:val="3EF1250A"/>
    <w:rsid w:val="40567DB0"/>
    <w:rsid w:val="40FF5CD2"/>
    <w:rsid w:val="41961147"/>
    <w:rsid w:val="42DB40B0"/>
    <w:rsid w:val="43B71B0A"/>
    <w:rsid w:val="44C6698D"/>
    <w:rsid w:val="44FA0589"/>
    <w:rsid w:val="450665E4"/>
    <w:rsid w:val="45A663E3"/>
    <w:rsid w:val="462B6546"/>
    <w:rsid w:val="469F09AF"/>
    <w:rsid w:val="4B756271"/>
    <w:rsid w:val="4BEB1D3E"/>
    <w:rsid w:val="4C8E1CA8"/>
    <w:rsid w:val="4D6D36A4"/>
    <w:rsid w:val="4EBB21ED"/>
    <w:rsid w:val="4F437C01"/>
    <w:rsid w:val="510903EF"/>
    <w:rsid w:val="52782993"/>
    <w:rsid w:val="53F137F4"/>
    <w:rsid w:val="543A6906"/>
    <w:rsid w:val="550407B0"/>
    <w:rsid w:val="56850CBB"/>
    <w:rsid w:val="580D4286"/>
    <w:rsid w:val="58AE3000"/>
    <w:rsid w:val="59D8738A"/>
    <w:rsid w:val="59DA7BF6"/>
    <w:rsid w:val="5A666D76"/>
    <w:rsid w:val="5B2253C2"/>
    <w:rsid w:val="5C182A2D"/>
    <w:rsid w:val="5CF02E0F"/>
    <w:rsid w:val="603269D2"/>
    <w:rsid w:val="61A52BCA"/>
    <w:rsid w:val="64A432DC"/>
    <w:rsid w:val="67095496"/>
    <w:rsid w:val="67ED7463"/>
    <w:rsid w:val="681A546A"/>
    <w:rsid w:val="688A4CB2"/>
    <w:rsid w:val="69CB37D4"/>
    <w:rsid w:val="6A0D5B9B"/>
    <w:rsid w:val="6A3B23B1"/>
    <w:rsid w:val="6AEA32DC"/>
    <w:rsid w:val="6CC24AB5"/>
    <w:rsid w:val="6D9271B2"/>
    <w:rsid w:val="6DD13C35"/>
    <w:rsid w:val="6F134790"/>
    <w:rsid w:val="6FE81F5F"/>
    <w:rsid w:val="705C11EC"/>
    <w:rsid w:val="72446028"/>
    <w:rsid w:val="73076EC0"/>
    <w:rsid w:val="74210CA6"/>
    <w:rsid w:val="746F4E76"/>
    <w:rsid w:val="749D7B1B"/>
    <w:rsid w:val="764B5653"/>
    <w:rsid w:val="788C25F5"/>
    <w:rsid w:val="79F72AA9"/>
    <w:rsid w:val="7A144529"/>
    <w:rsid w:val="7BAA225B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302F0"/>
  <w15:docId w15:val="{3D37E486-2B0A-4ED3-8DB6-E8D51A0B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</w:style>
  <w:style w:type="paragraph" w:styleId="a4">
    <w:name w:val="Body Text"/>
    <w:basedOn w:val="a"/>
    <w:link w:val="Char0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qFormat/>
    <w:rPr>
      <w:b/>
      <w:bCs/>
    </w:rPr>
  </w:style>
  <w:style w:type="character" w:styleId="a9">
    <w:name w:val="Hyperlink"/>
    <w:basedOn w:val="a0"/>
    <w:autoRedefine/>
    <w:qFormat/>
    <w:rPr>
      <w:color w:val="0563C1" w:themeColor="hyperlink"/>
      <w:u w:val="single"/>
    </w:rPr>
  </w:style>
  <w:style w:type="character" w:styleId="aa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Char3">
    <w:name w:val="页眉 Char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2">
    <w:name w:val="页脚 Char"/>
    <w:basedOn w:val="a0"/>
    <w:link w:val="a6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4">
    <w:name w:val="批注主题 Char"/>
    <w:basedOn w:val="Char"/>
    <w:link w:val="a8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1">
    <w:name w:val="批注框文本 Char"/>
    <w:basedOn w:val="a0"/>
    <w:link w:val="a5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  <w:style w:type="paragraph" w:styleId="ac">
    <w:name w:val="Revision"/>
    <w:hidden/>
    <w:uiPriority w:val="99"/>
    <w:semiHidden/>
    <w:rsid w:val="00770369"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d">
    <w:name w:val="舒适"/>
    <w:basedOn w:val="a"/>
    <w:qFormat/>
    <w:rsid w:val="00933D60"/>
    <w:pPr>
      <w:autoSpaceDE/>
      <w:autoSpaceDN/>
      <w:adjustRightInd w:val="0"/>
      <w:snapToGrid w:val="0"/>
      <w:spacing w:line="400" w:lineRule="exact"/>
    </w:pPr>
    <w:rPr>
      <w:rFonts w:asciiTheme="minorHAnsi" w:eastAsia="宋体" w:hAnsiTheme="minorHAnsi" w:cstheme="minorBidi"/>
      <w:color w:val="000000" w:themeColor="text1"/>
      <w:kern w:val="2"/>
      <w:sz w:val="21"/>
      <w:szCs w:val="24"/>
      <w:lang w:val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CE00-E485-4A40-9C04-A53FA299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邓春琼</cp:lastModifiedBy>
  <cp:revision>162</cp:revision>
  <cp:lastPrinted>2025-03-19T07:14:00Z</cp:lastPrinted>
  <dcterms:created xsi:type="dcterms:W3CDTF">2026-04-28T10:42:00Z</dcterms:created>
  <dcterms:modified xsi:type="dcterms:W3CDTF">2026-05-06T09:04:00Z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2052-12.1.0.21040</vt:lpwstr>
  </property>
  <property fmtid="{D5CDD505-2E9C-101B-9397-08002B2CF9AE}" pid="3" name="ICV">
    <vt:lpwstr>2785F0FEA11643789DF08207673F6E06_13</vt:lpwstr>
  </property>
  <property fmtid="{D5CDD505-2E9C-101B-9397-08002B2CF9AE}" pid="4" name="KSOTemplateDocerSaveRecord">
    <vt:lpwstr>eyJoZGlkIjoiNjM5NGUwODhkYjZjNjIxZWM3MmQ0YjZhZTA2M2YxMmUiLCJ1c2VySWQiOiIxMTczMjc2NDkyIn0=</vt:lpwstr>
  </property>
</Properties>
</file>