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AEFE2">
      <w:pPr>
        <w:pStyle w:val="2"/>
        <w:ind w:right="824"/>
        <w:jc w:val="center"/>
      </w:pPr>
      <w:r>
        <w:rPr>
          <w:rFonts w:hint="eastAsia"/>
          <w:lang w:val="en-US"/>
        </w:rPr>
        <w:t xml:space="preserve">      杭州格林达电子材料</w:t>
      </w:r>
      <w:r>
        <w:t>股份有限公司</w:t>
      </w:r>
    </w:p>
    <w:p w14:paraId="2CD1AB76">
      <w:pPr>
        <w:pStyle w:val="2"/>
        <w:ind w:right="824"/>
        <w:jc w:val="center"/>
      </w:pPr>
      <w:r>
        <w:rPr>
          <w:rFonts w:hint="eastAsia"/>
          <w:lang w:val="en-US"/>
        </w:rPr>
        <w:t xml:space="preserve">       </w:t>
      </w:r>
      <w:r>
        <w:t>投资者关系活动记录表</w:t>
      </w:r>
    </w:p>
    <w:p w14:paraId="02AB9919">
      <w:pPr>
        <w:spacing w:before="154" w:after="32"/>
        <w:ind w:right="679"/>
        <w:jc w:val="right"/>
        <w:rPr>
          <w:sz w:val="28"/>
        </w:rPr>
      </w:pPr>
      <w:r>
        <w:rPr>
          <w:rFonts w:hint="eastAsia"/>
          <w:sz w:val="28"/>
          <w:lang w:val="en-US" w:eastAsia="zh-CN"/>
        </w:rPr>
        <w:t xml:space="preserve">  </w:t>
      </w:r>
      <w:r>
        <w:rPr>
          <w:sz w:val="28"/>
        </w:rPr>
        <w:t>编号：</w:t>
      </w:r>
      <w:r>
        <w:rPr>
          <w:rFonts w:hint="eastAsia"/>
          <w:sz w:val="28"/>
        </w:rPr>
        <w:t>2026-001</w:t>
      </w:r>
    </w:p>
    <w:tbl>
      <w:tblPr>
        <w:tblStyle w:val="5"/>
        <w:tblW w:w="8525" w:type="dxa"/>
        <w:tblInd w:w="7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77"/>
        <w:gridCol w:w="6148"/>
      </w:tblGrid>
      <w:tr w14:paraId="2FF66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2377" w:type="dxa"/>
          </w:tcPr>
          <w:p w14:paraId="0C1D15A6">
            <w:pPr>
              <w:pStyle w:val="9"/>
              <w:ind w:left="0"/>
              <w:rPr>
                <w:sz w:val="24"/>
              </w:rPr>
            </w:pPr>
          </w:p>
          <w:p w14:paraId="52D4324F">
            <w:pPr>
              <w:pStyle w:val="9"/>
              <w:spacing w:before="12"/>
              <w:ind w:left="0"/>
              <w:rPr>
                <w:sz w:val="31"/>
              </w:rPr>
            </w:pPr>
          </w:p>
          <w:p w14:paraId="319AE997">
            <w:pPr>
              <w:pStyle w:val="9"/>
              <w:rPr>
                <w:sz w:val="24"/>
              </w:rPr>
            </w:pPr>
            <w:r>
              <w:rPr>
                <w:sz w:val="24"/>
              </w:rPr>
              <w:t>投资者关系活动类别</w:t>
            </w:r>
          </w:p>
        </w:tc>
        <w:tc>
          <w:tcPr>
            <w:tcW w:w="6148" w:type="dxa"/>
          </w:tcPr>
          <w:p w14:paraId="1F001BCD">
            <w:pPr>
              <w:pStyle w:val="9"/>
              <w:tabs>
                <w:tab w:val="left" w:pos="2747"/>
              </w:tabs>
              <w:spacing w:before="64"/>
              <w:rPr>
                <w:sz w:val="24"/>
              </w:rPr>
            </w:pPr>
            <w:r>
              <w:rPr>
                <w:rFonts w:hint="eastAsia"/>
                <w:sz w:val="24"/>
              </w:rPr>
              <w:t>√</w:t>
            </w:r>
            <w:r>
              <w:rPr>
                <w:sz w:val="24"/>
              </w:rPr>
              <w:t>特定对象调研</w:t>
            </w:r>
            <w:r>
              <w:rPr>
                <w:sz w:val="24"/>
              </w:rPr>
              <w:tab/>
            </w:r>
            <w:r>
              <w:rPr>
                <w:sz w:val="24"/>
              </w:rPr>
              <w:t>□分析师会议</w:t>
            </w:r>
          </w:p>
          <w:p w14:paraId="6237480F">
            <w:pPr>
              <w:pStyle w:val="9"/>
              <w:tabs>
                <w:tab w:val="left" w:pos="2747"/>
              </w:tabs>
              <w:spacing w:before="130"/>
              <w:rPr>
                <w:sz w:val="24"/>
              </w:rPr>
            </w:pPr>
            <w:r>
              <w:rPr>
                <w:sz w:val="24"/>
              </w:rPr>
              <w:t>□媒体采访</w:t>
            </w:r>
            <w:r>
              <w:rPr>
                <w:sz w:val="24"/>
              </w:rPr>
              <w:tab/>
            </w:r>
            <w:r>
              <w:rPr>
                <w:sz w:val="24"/>
              </w:rPr>
              <w:t>□业绩说明会</w:t>
            </w:r>
          </w:p>
          <w:p w14:paraId="7DD45750">
            <w:pPr>
              <w:pStyle w:val="9"/>
              <w:tabs>
                <w:tab w:val="left" w:pos="2747"/>
              </w:tabs>
              <w:spacing w:before="126"/>
              <w:rPr>
                <w:sz w:val="24"/>
              </w:rPr>
            </w:pPr>
            <w:r>
              <w:rPr>
                <w:sz w:val="24"/>
              </w:rPr>
              <w:t>□新闻发布会</w:t>
            </w:r>
            <w:r>
              <w:rPr>
                <w:sz w:val="24"/>
              </w:rPr>
              <w:tab/>
            </w:r>
            <w:r>
              <w:rPr>
                <w:sz w:val="24"/>
              </w:rPr>
              <w:t>□路演活动</w:t>
            </w:r>
          </w:p>
          <w:p w14:paraId="56269F88">
            <w:pPr>
              <w:pStyle w:val="9"/>
              <w:spacing w:before="128"/>
              <w:rPr>
                <w:sz w:val="24"/>
              </w:rPr>
            </w:pPr>
            <w:r>
              <w:rPr>
                <w:sz w:val="24"/>
              </w:rPr>
              <w:t>□现场参观</w:t>
            </w:r>
          </w:p>
          <w:p w14:paraId="22C30DD5">
            <w:pPr>
              <w:pStyle w:val="9"/>
              <w:spacing w:before="127"/>
              <w:rPr>
                <w:sz w:val="24"/>
              </w:rPr>
            </w:pPr>
            <w:r>
              <w:rPr>
                <w:sz w:val="24"/>
              </w:rPr>
              <w:t>□其他（请文字说明其他活动内容）</w:t>
            </w:r>
          </w:p>
        </w:tc>
      </w:tr>
      <w:tr w14:paraId="27E03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2377" w:type="dxa"/>
          </w:tcPr>
          <w:p w14:paraId="1BD9B899">
            <w:pPr>
              <w:pStyle w:val="9"/>
              <w:spacing w:before="64"/>
              <w:rPr>
                <w:sz w:val="24"/>
              </w:rPr>
            </w:pPr>
            <w:r>
              <w:rPr>
                <w:sz w:val="24"/>
              </w:rPr>
              <w:t>活动参与人员</w:t>
            </w:r>
          </w:p>
        </w:tc>
        <w:tc>
          <w:tcPr>
            <w:tcW w:w="6148" w:type="dxa"/>
          </w:tcPr>
          <w:p w14:paraId="0A8B9502">
            <w:pPr>
              <w:pStyle w:val="9"/>
              <w:ind w:left="0"/>
              <w:rPr>
                <w:rFonts w:ascii="Times New Roman"/>
                <w:sz w:val="26"/>
              </w:rPr>
            </w:pPr>
            <w:r>
              <w:rPr>
                <w:rFonts w:ascii="Times New Roman"/>
                <w:szCs w:val="20"/>
              </w:rPr>
              <w:t>弘洛基金、浙商资管、千泰投资、臻宜投资、星元投资、真科基金、沃金投资、诚盛投资、上海天倚道、国盛证券、玖迪睿泰、铬鼎</w:t>
            </w:r>
            <w:r>
              <w:rPr>
                <w:rFonts w:hint="eastAsia" w:ascii="Times New Roman"/>
                <w:szCs w:val="20"/>
                <w:lang w:val="en-US" w:eastAsia="zh-CN"/>
              </w:rPr>
              <w:t>投资</w:t>
            </w:r>
            <w:r>
              <w:rPr>
                <w:rFonts w:ascii="Times New Roman"/>
                <w:szCs w:val="20"/>
              </w:rPr>
              <w:t>、薏宸私募</w:t>
            </w:r>
            <w:r>
              <w:rPr>
                <w:rFonts w:hint="eastAsia" w:ascii="Times New Roman"/>
                <w:szCs w:val="20"/>
              </w:rPr>
              <w:t>、上海南部、焱牛投资、誉辉资本</w:t>
            </w:r>
          </w:p>
        </w:tc>
      </w:tr>
      <w:tr w14:paraId="13A0F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2377" w:type="dxa"/>
          </w:tcPr>
          <w:p w14:paraId="5F7FF5DE">
            <w:pPr>
              <w:pStyle w:val="9"/>
              <w:spacing w:before="64"/>
              <w:rPr>
                <w:sz w:val="24"/>
              </w:rPr>
            </w:pPr>
            <w:r>
              <w:rPr>
                <w:sz w:val="24"/>
              </w:rPr>
              <w:t>时间</w:t>
            </w:r>
          </w:p>
        </w:tc>
        <w:tc>
          <w:tcPr>
            <w:tcW w:w="6148" w:type="dxa"/>
          </w:tcPr>
          <w:p w14:paraId="4B082C86">
            <w:pPr>
              <w:pStyle w:val="9"/>
              <w:ind w:left="0"/>
              <w:rPr>
                <w:rFonts w:ascii="Times New Roman"/>
                <w:sz w:val="26"/>
              </w:rPr>
            </w:pPr>
            <w:r>
              <w:rPr>
                <w:rFonts w:hint="eastAsia" w:ascii="Times New Roman"/>
                <w:szCs w:val="20"/>
              </w:rPr>
              <w:t>2</w:t>
            </w:r>
            <w:r>
              <w:rPr>
                <w:rFonts w:ascii="Times New Roman"/>
                <w:szCs w:val="20"/>
              </w:rPr>
              <w:t>02</w:t>
            </w:r>
            <w:r>
              <w:rPr>
                <w:rFonts w:hint="eastAsia" w:ascii="Times New Roman"/>
                <w:szCs w:val="20"/>
              </w:rPr>
              <w:t>6.5.8下午3：00</w:t>
            </w:r>
          </w:p>
        </w:tc>
      </w:tr>
      <w:tr w14:paraId="0E13B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2377" w:type="dxa"/>
          </w:tcPr>
          <w:p w14:paraId="219387FF">
            <w:pPr>
              <w:pStyle w:val="9"/>
              <w:spacing w:before="64"/>
              <w:rPr>
                <w:sz w:val="24"/>
              </w:rPr>
            </w:pPr>
            <w:r>
              <w:rPr>
                <w:sz w:val="24"/>
              </w:rPr>
              <w:t>地点</w:t>
            </w:r>
          </w:p>
        </w:tc>
        <w:tc>
          <w:tcPr>
            <w:tcW w:w="6148" w:type="dxa"/>
          </w:tcPr>
          <w:p w14:paraId="33D50453">
            <w:pPr>
              <w:pStyle w:val="9"/>
              <w:ind w:left="0"/>
              <w:rPr>
                <w:rFonts w:ascii="Times New Roman"/>
                <w:sz w:val="26"/>
              </w:rPr>
            </w:pPr>
            <w:r>
              <w:rPr>
                <w:rFonts w:hint="eastAsia"/>
              </w:rPr>
              <w:t>格林达会议室</w:t>
            </w:r>
          </w:p>
        </w:tc>
      </w:tr>
      <w:tr w14:paraId="78BE5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2377" w:type="dxa"/>
          </w:tcPr>
          <w:p w14:paraId="03B0FE89">
            <w:pPr>
              <w:pStyle w:val="9"/>
              <w:spacing w:before="64"/>
              <w:rPr>
                <w:sz w:val="24"/>
              </w:rPr>
            </w:pPr>
            <w:r>
              <w:rPr>
                <w:rFonts w:hint="eastAsia"/>
                <w:sz w:val="24"/>
              </w:rPr>
              <w:t>上市公司接待人员</w:t>
            </w:r>
          </w:p>
        </w:tc>
        <w:tc>
          <w:tcPr>
            <w:tcW w:w="6148" w:type="dxa"/>
          </w:tcPr>
          <w:p w14:paraId="5A46A710">
            <w:pPr>
              <w:pStyle w:val="9"/>
              <w:rPr>
                <w:rFonts w:ascii="Times New Roman"/>
                <w:szCs w:val="20"/>
              </w:rPr>
            </w:pPr>
            <w:r>
              <w:rPr>
                <w:rFonts w:hint="eastAsia" w:ascii="Times New Roman"/>
                <w:szCs w:val="20"/>
              </w:rPr>
              <w:t>方伟华      总经理</w:t>
            </w:r>
          </w:p>
          <w:p w14:paraId="500209FC">
            <w:pPr>
              <w:pStyle w:val="9"/>
              <w:rPr>
                <w:rFonts w:hint="eastAsia" w:ascii="Times New Roman"/>
                <w:szCs w:val="20"/>
              </w:rPr>
            </w:pPr>
            <w:r>
              <w:rPr>
                <w:rFonts w:hint="eastAsia" w:ascii="Times New Roman"/>
                <w:szCs w:val="20"/>
              </w:rPr>
              <w:t>何婷茹       财务总监</w:t>
            </w:r>
          </w:p>
          <w:p w14:paraId="061D9705">
            <w:pPr>
              <w:pStyle w:val="9"/>
              <w:rPr>
                <w:rFonts w:ascii="Times New Roman"/>
                <w:szCs w:val="20"/>
              </w:rPr>
            </w:pPr>
            <w:r>
              <w:rPr>
                <w:rFonts w:hint="eastAsia" w:ascii="Times New Roman"/>
                <w:szCs w:val="20"/>
              </w:rPr>
              <w:t>章琪</w:t>
            </w:r>
            <w:r>
              <w:rPr>
                <w:rFonts w:ascii="Times New Roman"/>
                <w:szCs w:val="20"/>
              </w:rPr>
              <w:t xml:space="preserve"> </w:t>
            </w:r>
            <w:r>
              <w:rPr>
                <w:rFonts w:hint="eastAsia" w:ascii="Times New Roman"/>
                <w:szCs w:val="20"/>
              </w:rPr>
              <w:t xml:space="preserve">         董事会秘书</w:t>
            </w:r>
          </w:p>
          <w:p w14:paraId="3821837E">
            <w:pPr>
              <w:pStyle w:val="9"/>
              <w:rPr>
                <w:rFonts w:ascii="Times New Roman"/>
                <w:sz w:val="26"/>
              </w:rPr>
            </w:pPr>
            <w:r>
              <w:rPr>
                <w:rFonts w:hint="eastAsia" w:ascii="Times New Roman"/>
                <w:szCs w:val="20"/>
              </w:rPr>
              <w:t>王责宇</w:t>
            </w:r>
            <w:r>
              <w:rPr>
                <w:rFonts w:ascii="Times New Roman"/>
                <w:szCs w:val="20"/>
              </w:rPr>
              <w:t xml:space="preserve"> </w:t>
            </w:r>
            <w:r>
              <w:rPr>
                <w:rFonts w:hint="eastAsia" w:ascii="Times New Roman"/>
                <w:szCs w:val="20"/>
              </w:rPr>
              <w:t xml:space="preserve">     证券事务专员</w:t>
            </w:r>
          </w:p>
        </w:tc>
      </w:tr>
      <w:tr w14:paraId="41889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7" w:hRule="atLeast"/>
        </w:trPr>
        <w:tc>
          <w:tcPr>
            <w:tcW w:w="2377" w:type="dxa"/>
          </w:tcPr>
          <w:p w14:paraId="1D513ADD">
            <w:pPr>
              <w:pStyle w:val="9"/>
              <w:spacing w:before="67"/>
              <w:rPr>
                <w:sz w:val="24"/>
              </w:rPr>
            </w:pPr>
            <w:r>
              <w:rPr>
                <w:sz w:val="24"/>
              </w:rPr>
              <w:t>交流内容及具体问答</w:t>
            </w:r>
          </w:p>
          <w:p w14:paraId="504BE76F">
            <w:pPr>
              <w:pStyle w:val="9"/>
              <w:spacing w:before="127"/>
              <w:rPr>
                <w:sz w:val="24"/>
              </w:rPr>
            </w:pPr>
            <w:r>
              <w:rPr>
                <w:sz w:val="24"/>
              </w:rPr>
              <w:t>记录</w:t>
            </w:r>
          </w:p>
        </w:tc>
        <w:tc>
          <w:tcPr>
            <w:tcW w:w="6148" w:type="dxa"/>
          </w:tcPr>
          <w:p w14:paraId="7ECF6EE0">
            <w:pPr>
              <w:spacing w:line="360" w:lineRule="auto"/>
              <w:rPr>
                <w:rFonts w:hint="eastAsia" w:eastAsia="仿宋"/>
                <w:lang w:eastAsia="zh-CN"/>
              </w:rPr>
            </w:pPr>
            <w:r>
              <w:rPr>
                <w:rFonts w:hint="eastAsia"/>
              </w:rPr>
              <w:t>1、公司工信部项目的进度</w:t>
            </w:r>
            <w:r>
              <w:rPr>
                <w:rFonts w:hint="eastAsia"/>
                <w:lang w:val="en-US" w:eastAsia="zh-CN"/>
              </w:rPr>
              <w:t>如何</w:t>
            </w:r>
            <w:r>
              <w:rPr>
                <w:rFonts w:hint="eastAsia"/>
                <w:lang w:eastAsia="zh-CN"/>
              </w:rPr>
              <w:t>？</w:t>
            </w:r>
          </w:p>
          <w:p w14:paraId="76DD8D45">
            <w:pPr>
              <w:spacing w:line="360" w:lineRule="auto"/>
            </w:pPr>
            <w:r>
              <w:rPr>
                <w:rFonts w:hint="eastAsia"/>
              </w:rPr>
              <w:t xml:space="preserve">A: </w:t>
            </w:r>
            <w:r>
              <w:t>公司承接的工信部"集成电路制造产线零部件、材料和关键设备关键材料研发及产业化验证项目"，正与国内芯片龙头企业联合开展大规模集成电路用图形化显影液产品的研发及产业化应用验证，已完成政府主导的整体验收，目前验收已获通过，</w:t>
            </w:r>
            <w:bookmarkStart w:id="0" w:name="_GoBack"/>
            <w:bookmarkEnd w:id="0"/>
            <w:r>
              <w:rPr>
                <w:rFonts w:hint="eastAsia"/>
              </w:rPr>
              <w:t>正在稳步推进项目验收完成后的项目收尾工作。通过该项目的验收和技术创新的带动，公司与集成电路龙头企业进行品质对标，完成龙头客户端供应商资格审查导入，推动后续在半导体集成电路企业及半导体其他领域的产线验证和量供导入。同时，公司在电解纯化工艺技术、杂质控制和净化包装等关键技术领域不断实现创新突破。通过建立完善的产品评估、验证、品质管控和生产管控体系，公司致力于早日实现中高端集成电路产线的产业化规模应用目标。这不仅将形成安全可靠稳定的供应能力，还将增强集成电路产业链的自主可控性。</w:t>
            </w:r>
          </w:p>
          <w:p w14:paraId="2C8180AF">
            <w:pPr>
              <w:spacing w:line="360" w:lineRule="auto"/>
            </w:pPr>
          </w:p>
          <w:p w14:paraId="7F3293B6">
            <w:pPr>
              <w:spacing w:line="360" w:lineRule="auto"/>
              <w:rPr>
                <w:rFonts w:hint="eastAsia" w:eastAsia="仿宋"/>
                <w:lang w:eastAsia="zh-CN"/>
              </w:rPr>
            </w:pPr>
            <w:r>
              <w:rPr>
                <w:rFonts w:hint="eastAsia"/>
              </w:rPr>
              <w:t>2、公司的</w:t>
            </w:r>
            <w:r>
              <w:rPr>
                <w:rFonts w:hint="eastAsia"/>
                <w:lang w:val="en-US" w:eastAsia="zh-CN"/>
              </w:rPr>
              <w:t>主营</w:t>
            </w:r>
            <w:r>
              <w:rPr>
                <w:rFonts w:hint="eastAsia"/>
              </w:rPr>
              <w:t>产品</w:t>
            </w:r>
            <w:r>
              <w:rPr>
                <w:rFonts w:hint="eastAsia"/>
                <w:lang w:eastAsia="zh-CN"/>
              </w:rPr>
              <w:t>的</w:t>
            </w:r>
            <w:r>
              <w:rPr>
                <w:rFonts w:hint="eastAsia"/>
                <w:lang w:val="en-US" w:eastAsia="zh-CN"/>
              </w:rPr>
              <w:t>业务进展情况。</w:t>
            </w:r>
          </w:p>
          <w:p w14:paraId="2EF4860C">
            <w:pPr>
              <w:spacing w:line="360" w:lineRule="auto"/>
              <w:rPr>
                <w:rFonts w:hint="eastAsia"/>
              </w:rPr>
            </w:pPr>
            <w:r>
              <w:rPr>
                <w:rFonts w:hint="eastAsia"/>
              </w:rPr>
              <w:t>A：公司始终聚焦主营业务，不断加大市场开拓力度，成效显著：四川格林达出产的显影液产品在西南体系客户中已实现导入和全厂量供，并导入西南地区新建的国内首条高世代AMOLED产线，同时继续推进其他单厂的转产测试和导入量供；显影液产品完成华星集团广州华星光电技术有限公司全部测试并形成量供；公司已通过韩国LGD公司直供供应商的全面稽核，成为具备向韩系龙头客户直接供应资格的中国湿电子化学品供应商，通过渠道的进一步优化，稳固和提升了公司韩系客户的客户粘性和市场份额。</w:t>
            </w:r>
            <w:r>
              <w:rPr>
                <w:rFonts w:hint="eastAsia"/>
                <w:lang w:val="en-US" w:eastAsia="zh-CN"/>
              </w:rPr>
              <w:t>同时，</w:t>
            </w:r>
            <w:r>
              <w:rPr>
                <w:rFonts w:hint="eastAsia"/>
              </w:rPr>
              <w:t>公司充分利用现有市场地位、技术优势和产业经验，不断深化泛半导体市场布局与拓展: 公司在半导体大硅片及功率器件行业方面，目前已完成立昂微集团海宁新工厂、芜湖长信等国内泛半导体龙头企业的量供导入，同时对台湾地区的泛半导体客户形成稳定量供，半导体用显影液和稀释液已在半导体功率器件企业形成稳定量供，并持续开拓国内外下游泛半导体客户市场。</w:t>
            </w:r>
          </w:p>
          <w:p w14:paraId="528F34D0">
            <w:pPr>
              <w:spacing w:line="360" w:lineRule="auto"/>
            </w:pPr>
          </w:p>
          <w:p w14:paraId="5AE9ED39">
            <w:pPr>
              <w:spacing w:line="360" w:lineRule="auto"/>
              <w:rPr>
                <w:rFonts w:hint="default"/>
                <w:lang w:val="en-US"/>
              </w:rPr>
            </w:pPr>
            <w:r>
              <w:rPr>
                <w:rFonts w:hint="eastAsia"/>
              </w:rPr>
              <w:t>3、公司在</w:t>
            </w:r>
            <w:r>
              <w:rPr>
                <w:rFonts w:hint="eastAsia"/>
                <w:lang w:val="en-US" w:eastAsia="zh-CN"/>
              </w:rPr>
              <w:t>新产品的市场拓展情况。</w:t>
            </w:r>
          </w:p>
          <w:p w14:paraId="403DBA46">
            <w:pPr>
              <w:spacing w:line="360" w:lineRule="auto"/>
              <w:rPr>
                <w:rFonts w:hint="eastAsia"/>
              </w:rPr>
            </w:pPr>
            <w:r>
              <w:rPr>
                <w:rFonts w:hint="eastAsia"/>
              </w:rPr>
              <w:t>A：公司在稳固TMAH显影液市场领先地位的同时，根据下游客户需求和市场发展变化，加速推进新产品市场拓展，着力构建多元产品矩阵：剥离液产品继成功导入维信诺集团云谷(固安)科技有限公司后，已经完成涉及剥离液回收液的全部测试，形成全厂规模量供，达到剥离液生产和回收循环利用的全链条闭环，实现了有效降本和循环使用模式的建立；在成功稳定量供的基础上，公司已顺利启动并完成维信诺集团合肥国显科技有限公司高世代OLED新工厂剥离液产品的导入；剥离液产品也在龙头企业惠科集团惠科股份有限公司创新半导体显示分公司完成全部测试和导入，形成全厂量供。</w:t>
            </w:r>
          </w:p>
          <w:p w14:paraId="07ADF22C">
            <w:pPr>
              <w:spacing w:line="360" w:lineRule="auto"/>
            </w:pPr>
          </w:p>
          <w:p w14:paraId="37303CF4">
            <w:pPr>
              <w:spacing w:line="360" w:lineRule="auto"/>
              <w:rPr>
                <w:rFonts w:hint="eastAsia" w:eastAsia="仿宋"/>
                <w:lang w:eastAsia="zh-CN"/>
              </w:rPr>
            </w:pPr>
            <w:r>
              <w:rPr>
                <w:rFonts w:hint="eastAsia"/>
              </w:rPr>
              <w:t>4、四川工厂现在产能释放情况和收益如何</w:t>
            </w:r>
            <w:r>
              <w:rPr>
                <w:rFonts w:hint="eastAsia"/>
                <w:lang w:eastAsia="zh-CN"/>
              </w:rPr>
              <w:t>？</w:t>
            </w:r>
          </w:p>
          <w:p w14:paraId="509F349B">
            <w:pPr>
              <w:spacing w:line="360" w:lineRule="auto"/>
              <w:rPr>
                <w:rFonts w:hint="default" w:eastAsia="仿宋"/>
                <w:lang w:val="en-US" w:eastAsia="zh-CN"/>
              </w:rPr>
            </w:pPr>
            <w:r>
              <w:rPr>
                <w:rFonts w:hint="eastAsia"/>
              </w:rPr>
              <w:t>A：四川格林达</w:t>
            </w:r>
            <w:r>
              <w:rPr>
                <w:rFonts w:hint="eastAsia"/>
                <w:lang w:val="en-US" w:eastAsia="zh-CN"/>
              </w:rPr>
              <w:t>出产的显影液产品在西南体系客户中已实现导入和全厂量供，并导入西南地区新建的国内首条高世代AMOLED产线，同时继续推进其他单厂的转产测试和导入量供</w:t>
            </w:r>
            <w:r>
              <w:t>。</w:t>
            </w:r>
            <w:r>
              <w:rPr>
                <w:rFonts w:hint="eastAsia"/>
                <w:lang w:val="en-US" w:eastAsia="zh-CN"/>
              </w:rPr>
              <w:t>2025年，四川公司产能利用率为17.58%，实现营收6980.80万元。</w:t>
            </w:r>
          </w:p>
          <w:p w14:paraId="06B20198">
            <w:pPr>
              <w:spacing w:line="360" w:lineRule="auto"/>
            </w:pPr>
          </w:p>
          <w:p w14:paraId="75F3CB2E">
            <w:pPr>
              <w:spacing w:line="360" w:lineRule="auto"/>
            </w:pPr>
            <w:r>
              <w:rPr>
                <w:rFonts w:hint="eastAsia"/>
              </w:rPr>
              <w:t>5、公司</w:t>
            </w:r>
            <w:r>
              <w:rPr>
                <w:rFonts w:hint="eastAsia"/>
                <w:lang w:val="en-US" w:eastAsia="zh-CN"/>
              </w:rPr>
              <w:t>产品的市占率情况。</w:t>
            </w:r>
          </w:p>
          <w:p w14:paraId="0F2CE245">
            <w:pPr>
              <w:spacing w:line="360" w:lineRule="auto"/>
            </w:pPr>
            <w:r>
              <w:rPr>
                <w:rFonts w:hint="eastAsia"/>
              </w:rPr>
              <w:t>A：公司二十余年如一日深耕超净高纯湿电子化学品领域，始终聚焦于显影液、蚀刻液、稀释液、清洗液等核心产品的研发、生产和销售，是国内湿电子化学品领域的领军企业，也是国家</w:t>
            </w:r>
            <w:r>
              <w:rPr>
                <w:rFonts w:hint="eastAsia"/>
                <w:lang w:val="en-US" w:eastAsia="zh-CN"/>
              </w:rPr>
              <w:t>级</w:t>
            </w:r>
            <w:r>
              <w:rPr>
                <w:rFonts w:hint="eastAsia"/>
              </w:rPr>
              <w:t>制造业单项冠军示范企业</w:t>
            </w:r>
            <w:r>
              <w:t>。</w:t>
            </w:r>
          </w:p>
          <w:p w14:paraId="6FE9693C">
            <w:pPr>
              <w:spacing w:line="360" w:lineRule="auto"/>
            </w:pPr>
          </w:p>
          <w:p w14:paraId="67AC5EB3">
            <w:pPr>
              <w:spacing w:line="360" w:lineRule="auto"/>
              <w:rPr>
                <w:rFonts w:hint="eastAsia"/>
                <w:lang w:val="en-US" w:eastAsia="zh-CN"/>
              </w:rPr>
            </w:pPr>
            <w:r>
              <w:rPr>
                <w:rFonts w:hint="eastAsia"/>
                <w:lang w:val="en-US" w:eastAsia="zh-CN"/>
              </w:rPr>
              <w:t>6、公司资产负债率很低，财务状况稳健，是否考虑投资并购或有相关计划？</w:t>
            </w:r>
          </w:p>
          <w:p w14:paraId="24C68EEF">
            <w:pPr>
              <w:spacing w:line="360" w:lineRule="auto"/>
            </w:pPr>
            <w:r>
              <w:rPr>
                <w:rFonts w:hint="eastAsia"/>
                <w:lang w:val="en-US" w:eastAsia="zh-CN"/>
              </w:rPr>
              <w:t>A：公司管理层积极关注产业链的发展趋势及潜在机会，将根据公司战略发展的需要，通过投资并购等多种资本运作方式选择优质标的,丰富产品结构以及下游应用领域，进一步增强技术储备和创新能力。未来若有相关计划，公司将严格按照监管要求，及时履行信息披露义务。</w:t>
            </w:r>
          </w:p>
          <w:p w14:paraId="70663DF7">
            <w:pPr>
              <w:spacing w:line="360" w:lineRule="auto"/>
            </w:pPr>
          </w:p>
          <w:p w14:paraId="0AFA5B2E">
            <w:pPr>
              <w:spacing w:line="360" w:lineRule="auto"/>
            </w:pPr>
          </w:p>
        </w:tc>
      </w:tr>
      <w:tr w14:paraId="64D84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3" w:hRule="atLeast"/>
        </w:trPr>
        <w:tc>
          <w:tcPr>
            <w:tcW w:w="2377" w:type="dxa"/>
          </w:tcPr>
          <w:p w14:paraId="55F322A2">
            <w:pPr>
              <w:pStyle w:val="9"/>
              <w:spacing w:before="64" w:line="340" w:lineRule="auto"/>
              <w:ind w:right="97"/>
              <w:jc w:val="both"/>
              <w:rPr>
                <w:sz w:val="24"/>
              </w:rPr>
            </w:pPr>
            <w:r>
              <w:rPr>
                <w:sz w:val="24"/>
              </w:rPr>
              <w:t>活动过程中所使用的演示文稿、提供的文档等附件（如有，可</w:t>
            </w:r>
          </w:p>
          <w:p w14:paraId="6B84863A">
            <w:pPr>
              <w:pStyle w:val="9"/>
              <w:spacing w:line="303" w:lineRule="exact"/>
              <w:rPr>
                <w:sz w:val="24"/>
              </w:rPr>
            </w:pPr>
            <w:r>
              <w:rPr>
                <w:sz w:val="24"/>
              </w:rPr>
              <w:t>作为附件）</w:t>
            </w:r>
          </w:p>
        </w:tc>
        <w:tc>
          <w:tcPr>
            <w:tcW w:w="6148" w:type="dxa"/>
          </w:tcPr>
          <w:p w14:paraId="561E560E">
            <w:pPr>
              <w:pStyle w:val="9"/>
              <w:ind w:left="0"/>
              <w:rPr>
                <w:rFonts w:ascii="Times New Roman"/>
                <w:sz w:val="26"/>
              </w:rPr>
            </w:pPr>
            <w:r>
              <w:rPr>
                <w:rFonts w:hint="eastAsia" w:ascii="Times New Roman"/>
                <w:sz w:val="26"/>
              </w:rPr>
              <w:t>无</w:t>
            </w:r>
          </w:p>
        </w:tc>
      </w:tr>
    </w:tbl>
    <w:p w14:paraId="4DCD8C9A">
      <w:pPr>
        <w:rPr>
          <w:rFonts w:ascii="宋体" w:hAnsi="宋体"/>
          <w:sz w:val="28"/>
        </w:rPr>
      </w:pPr>
    </w:p>
    <w:sectPr>
      <w:type w:val="continuous"/>
      <w:pgSz w:w="11910" w:h="16840"/>
      <w:pgMar w:top="1520" w:right="1580" w:bottom="280" w:left="9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0B"/>
    <w:rsid w:val="000107D8"/>
    <w:rsid w:val="00017528"/>
    <w:rsid w:val="0006379E"/>
    <w:rsid w:val="0007053C"/>
    <w:rsid w:val="00071C6E"/>
    <w:rsid w:val="00097177"/>
    <w:rsid w:val="000D2AB6"/>
    <w:rsid w:val="001108FE"/>
    <w:rsid w:val="001305E4"/>
    <w:rsid w:val="00162871"/>
    <w:rsid w:val="00171360"/>
    <w:rsid w:val="0017157A"/>
    <w:rsid w:val="001E10B2"/>
    <w:rsid w:val="0020694B"/>
    <w:rsid w:val="00215255"/>
    <w:rsid w:val="00263F0C"/>
    <w:rsid w:val="002C6274"/>
    <w:rsid w:val="002C7B42"/>
    <w:rsid w:val="002E55A5"/>
    <w:rsid w:val="00327BF0"/>
    <w:rsid w:val="003C207C"/>
    <w:rsid w:val="003C6CFD"/>
    <w:rsid w:val="004B3293"/>
    <w:rsid w:val="004D7AF6"/>
    <w:rsid w:val="004F68F0"/>
    <w:rsid w:val="005156BA"/>
    <w:rsid w:val="00520021"/>
    <w:rsid w:val="00551301"/>
    <w:rsid w:val="00552269"/>
    <w:rsid w:val="00552E3E"/>
    <w:rsid w:val="00577250"/>
    <w:rsid w:val="00580104"/>
    <w:rsid w:val="005D738A"/>
    <w:rsid w:val="00610110"/>
    <w:rsid w:val="006A3353"/>
    <w:rsid w:val="00711F8E"/>
    <w:rsid w:val="0071356F"/>
    <w:rsid w:val="007A6320"/>
    <w:rsid w:val="007B6582"/>
    <w:rsid w:val="007E1942"/>
    <w:rsid w:val="007E3B0D"/>
    <w:rsid w:val="0081611E"/>
    <w:rsid w:val="008918A7"/>
    <w:rsid w:val="008A4F6A"/>
    <w:rsid w:val="008E614D"/>
    <w:rsid w:val="008E69FB"/>
    <w:rsid w:val="00946532"/>
    <w:rsid w:val="00965090"/>
    <w:rsid w:val="009A5806"/>
    <w:rsid w:val="009B56F7"/>
    <w:rsid w:val="009F0355"/>
    <w:rsid w:val="00A07BD1"/>
    <w:rsid w:val="00A16B93"/>
    <w:rsid w:val="00A53C54"/>
    <w:rsid w:val="00A645EC"/>
    <w:rsid w:val="00A83E0B"/>
    <w:rsid w:val="00A83F33"/>
    <w:rsid w:val="00A92E65"/>
    <w:rsid w:val="00AB70D9"/>
    <w:rsid w:val="00AD52E4"/>
    <w:rsid w:val="00AD77D3"/>
    <w:rsid w:val="00B10134"/>
    <w:rsid w:val="00B41B05"/>
    <w:rsid w:val="00BC4BE7"/>
    <w:rsid w:val="00C5219B"/>
    <w:rsid w:val="00C6276F"/>
    <w:rsid w:val="00CB3578"/>
    <w:rsid w:val="00CC496A"/>
    <w:rsid w:val="00CE4412"/>
    <w:rsid w:val="00CF1336"/>
    <w:rsid w:val="00D66389"/>
    <w:rsid w:val="00DB46FA"/>
    <w:rsid w:val="00DB538E"/>
    <w:rsid w:val="00E21290"/>
    <w:rsid w:val="00E231E8"/>
    <w:rsid w:val="00E36611"/>
    <w:rsid w:val="00E50F80"/>
    <w:rsid w:val="00EB30A3"/>
    <w:rsid w:val="00EF4B98"/>
    <w:rsid w:val="00F077A1"/>
    <w:rsid w:val="00F36EB7"/>
    <w:rsid w:val="00F67894"/>
    <w:rsid w:val="00F971FE"/>
    <w:rsid w:val="00FD431E"/>
    <w:rsid w:val="1ED23A13"/>
    <w:rsid w:val="2E32172D"/>
    <w:rsid w:val="41203318"/>
    <w:rsid w:val="4F415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44"/>
      <w:szCs w:val="44"/>
    </w:rPr>
  </w:style>
  <w:style w:type="paragraph" w:styleId="3">
    <w:name w:val="footer"/>
    <w:basedOn w:val="1"/>
    <w:link w:val="11"/>
    <w:qFormat/>
    <w:uiPriority w:val="0"/>
    <w:pPr>
      <w:tabs>
        <w:tab w:val="center" w:pos="4153"/>
        <w:tab w:val="right" w:pos="8306"/>
      </w:tabs>
      <w:snapToGrid w:val="0"/>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pPr>
      <w:ind w:left="107"/>
    </w:pPr>
  </w:style>
  <w:style w:type="character" w:customStyle="1" w:styleId="10">
    <w:name w:val="页眉 字符"/>
    <w:basedOn w:val="6"/>
    <w:link w:val="4"/>
    <w:qFormat/>
    <w:uiPriority w:val="0"/>
    <w:rPr>
      <w:rFonts w:ascii="仿宋" w:hAnsi="仿宋" w:eastAsia="仿宋" w:cs="仿宋"/>
      <w:sz w:val="18"/>
      <w:szCs w:val="18"/>
      <w:lang w:val="zh-CN" w:bidi="zh-CN"/>
    </w:rPr>
  </w:style>
  <w:style w:type="character" w:customStyle="1" w:styleId="11">
    <w:name w:val="页脚 字符"/>
    <w:basedOn w:val="6"/>
    <w:link w:val="3"/>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1721</Words>
  <Characters>1769</Characters>
  <Lines>11</Lines>
  <Paragraphs>3</Paragraphs>
  <TotalTime>10</TotalTime>
  <ScaleCrop>false</ScaleCrop>
  <LinksUpToDate>false</LinksUpToDate>
  <CharactersWithSpaces>1818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2024-10-30T05:21:00Z</dcterms:created>
  <dc:creator>杨展</dc:creator>
  <cp:lastModifiedBy>杭州格林达</cp:lastModifiedBy>
  <dcterms:modified xsi:type="dcterms:W3CDTF">2026-05-08T09:43:29Z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2022-07-29T00:00:00Z</vt:filetime>
  </property>
  <property fmtid="{D5CDD505-2E9C-101B-9397-08002B2CF9AE}" pid="3" name="Creator">
    <vt:lpwstr>Microsoft® Word 2010</vt:lpwstr>
  </property>
  <property fmtid="{D5CDD505-2E9C-101B-9397-08002B2CF9AE}" pid="4" name="LastSaved">
    <vt:filetime>2022-11-24T00:00:00Z</vt:filetime>
  </property>
  <property fmtid="{D5CDD505-2E9C-101B-9397-08002B2CF9AE}" pid="5" name="KSOProductBuildVer">
    <vt:lpwstr>2052-12.1.0.26375</vt:lpwstr>
  </property>
  <property fmtid="{D5CDD505-2E9C-101B-9397-08002B2CF9AE}" pid="6" name="KSOTemplateDocerSaveRecord">
    <vt:lpwstr>eyJoZGlkIjoiYjM1MzI5ZjdhYjMwMjg0OGUxNWUzZTQ2ZjVlODNmMGMiLCJ1c2VySWQiOiI1MjM0NDMzMTIifQ==</vt:lpwstr>
  </property>
  <property fmtid="{D5CDD505-2E9C-101B-9397-08002B2CF9AE}" pid="7" name="ICV">
    <vt:lpwstr>013122AAE16A408E967B8B1F14BAA76A_12</vt:lpwstr>
  </property>
</Properties>
</file>