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96598">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宋体" w:hAnsi="宋体" w:eastAsia="宋体" w:cs="宋体"/>
          <w:bCs/>
          <w:iCs/>
          <w:color w:val="000000"/>
          <w:sz w:val="24"/>
          <w:szCs w:val="24"/>
        </w:rPr>
      </w:pPr>
      <w:r>
        <w:rPr>
          <w:rFonts w:hint="eastAsia" w:ascii="宋体" w:hAnsi="宋体" w:eastAsia="宋体" w:cs="宋体"/>
          <w:bCs/>
          <w:iCs/>
          <w:color w:val="000000"/>
          <w:sz w:val="24"/>
          <w:szCs w:val="24"/>
        </w:rPr>
        <w:t>证券代码：603210                                   证券简称：泰鸿万立</w:t>
      </w:r>
    </w:p>
    <w:p w14:paraId="780503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bCs/>
          <w:iCs/>
          <w:color w:val="000000"/>
          <w:sz w:val="32"/>
          <w:szCs w:val="32"/>
        </w:rPr>
      </w:pPr>
      <w:r>
        <w:rPr>
          <w:rFonts w:hint="eastAsia" w:ascii="Times New Roman" w:hAnsi="Times New Roman" w:eastAsia="宋体" w:cs="Times New Roman"/>
          <w:b/>
          <w:bCs/>
          <w:iCs/>
          <w:color w:val="000000"/>
          <w:sz w:val="32"/>
          <w:szCs w:val="32"/>
        </w:rPr>
        <w:t>浙江泰鸿万立科技股份有限公司</w:t>
      </w:r>
    </w:p>
    <w:p w14:paraId="70E96D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b/>
          <w:bCs/>
          <w:iCs/>
          <w:color w:val="000000"/>
          <w:sz w:val="32"/>
          <w:szCs w:val="32"/>
        </w:rPr>
      </w:pPr>
      <w:r>
        <w:rPr>
          <w:rFonts w:ascii="Times New Roman" w:hAnsi="Times New Roman" w:eastAsia="宋体" w:cs="Times New Roman"/>
          <w:b/>
          <w:bCs/>
          <w:iCs/>
          <w:color w:val="000000"/>
          <w:sz w:val="32"/>
          <w:szCs w:val="32"/>
        </w:rPr>
        <w:t>投资者关系活动记录表</w:t>
      </w:r>
    </w:p>
    <w:p w14:paraId="4FD39E3F">
      <w:pPr>
        <w:spacing w:line="400" w:lineRule="exact"/>
        <w:rPr>
          <w:rFonts w:hint="eastAsia" w:ascii="Times New Roman" w:hAnsi="Times New Roman" w:eastAsia="宋体" w:cs="Times New Roman"/>
          <w:bCs/>
          <w:iCs/>
          <w:sz w:val="24"/>
          <w:lang w:val="en-US" w:eastAsia="zh-CN"/>
        </w:rPr>
      </w:pPr>
      <w:r>
        <w:rPr>
          <w:rFonts w:ascii="Times New Roman" w:hAnsi="Times New Roman" w:eastAsia="宋体" w:cs="Times New Roman"/>
          <w:bCs/>
          <w:iCs/>
          <w:color w:val="000000"/>
          <w:sz w:val="24"/>
        </w:rPr>
        <w:t xml:space="preserve">                                                      </w:t>
      </w:r>
      <w:r>
        <w:rPr>
          <w:rFonts w:ascii="Times New Roman" w:hAnsi="Times New Roman" w:eastAsia="宋体" w:cs="Times New Roman"/>
          <w:bCs/>
          <w:iCs/>
          <w:color w:val="FF0000"/>
          <w:sz w:val="24"/>
        </w:rPr>
        <w:t xml:space="preserve"> </w:t>
      </w:r>
      <w:r>
        <w:rPr>
          <w:rFonts w:ascii="Times New Roman" w:hAnsi="Times New Roman" w:eastAsia="宋体" w:cs="Times New Roman"/>
          <w:bCs/>
          <w:iCs/>
          <w:sz w:val="24"/>
        </w:rPr>
        <w:t xml:space="preserve"> </w:t>
      </w:r>
      <w:r>
        <w:rPr>
          <w:rFonts w:hint="eastAsia" w:ascii="Times New Roman" w:hAnsi="Times New Roman" w:eastAsia="宋体" w:cs="Times New Roman"/>
          <w:bCs/>
          <w:iCs/>
          <w:sz w:val="24"/>
        </w:rPr>
        <w:t>2026-00</w:t>
      </w:r>
      <w:r>
        <w:rPr>
          <w:rFonts w:hint="eastAsia" w:ascii="Times New Roman" w:hAnsi="Times New Roman" w:eastAsia="宋体" w:cs="Times New Roman"/>
          <w:bCs/>
          <w:iCs/>
          <w:sz w:val="24"/>
          <w:lang w:val="en-US" w:eastAsia="zh-CN"/>
        </w:rPr>
        <w:t>6</w:t>
      </w:r>
    </w:p>
    <w:tbl>
      <w:tblPr>
        <w:tblStyle w:val="9"/>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975"/>
      </w:tblGrid>
      <w:tr w14:paraId="2141E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DC099E1">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投资者关系活动类别</w:t>
            </w:r>
          </w:p>
          <w:p w14:paraId="480D24B7">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088F7C9">
            <w:pPr>
              <w:spacing w:line="480" w:lineRule="atLeast"/>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sym w:font="Wingdings 2" w:char="0052"/>
            </w:r>
            <w:r>
              <w:rPr>
                <w:rFonts w:ascii="Times New Roman" w:hAnsi="Times New Roman" w:eastAsia="宋体" w:cs="Times New Roman"/>
                <w:sz w:val="24"/>
                <w:szCs w:val="24"/>
              </w:rPr>
              <w:t xml:space="preserve">特定对象调研        </w:t>
            </w:r>
            <w:r>
              <w:rPr>
                <w:rFonts w:hint="eastAsia" w:ascii="Times New Roman" w:hAnsi="Times New Roman"/>
                <w:color w:val="000000"/>
                <w:sz w:val="24"/>
                <w:szCs w:val="24"/>
              </w:rPr>
              <w:t>□</w:t>
            </w:r>
            <w:r>
              <w:rPr>
                <w:rFonts w:ascii="Times New Roman" w:hAnsi="Times New Roman" w:eastAsia="宋体" w:cs="Times New Roman"/>
                <w:sz w:val="24"/>
                <w:szCs w:val="24"/>
              </w:rPr>
              <w:t>分析师会议</w:t>
            </w:r>
          </w:p>
          <w:p w14:paraId="687FD7B4">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媒体采访            </w:t>
            </w: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业绩说明会</w:t>
            </w:r>
          </w:p>
          <w:p w14:paraId="0A280B42">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 xml:space="preserve">新闻发布会          </w:t>
            </w:r>
            <w:r>
              <w:rPr>
                <w:rFonts w:hint="eastAsia" w:ascii="Times New Roman" w:hAnsi="Times New Roman"/>
                <w:color w:val="000000"/>
                <w:sz w:val="24"/>
                <w:szCs w:val="24"/>
              </w:rPr>
              <w:t>□</w:t>
            </w:r>
            <w:r>
              <w:rPr>
                <w:rFonts w:ascii="Times New Roman" w:hAnsi="Times New Roman" w:eastAsia="宋体" w:cs="Times New Roman"/>
                <w:sz w:val="24"/>
                <w:szCs w:val="24"/>
              </w:rPr>
              <w:t>路演活动</w:t>
            </w:r>
          </w:p>
          <w:p w14:paraId="30934A66">
            <w:pPr>
              <w:tabs>
                <w:tab w:val="left" w:pos="3045"/>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sz w:val="24"/>
                <w:szCs w:val="24"/>
              </w:rPr>
              <w:t>现</w:t>
            </w:r>
            <w:r>
              <w:rPr>
                <w:rFonts w:ascii="Times New Roman" w:hAnsi="Times New Roman" w:eastAsia="宋体" w:cs="Times New Roman"/>
                <w:sz w:val="24"/>
                <w:szCs w:val="24"/>
              </w:rPr>
              <w:t>场参观</w:t>
            </w:r>
          </w:p>
          <w:p w14:paraId="424FD70F">
            <w:pPr>
              <w:tabs>
                <w:tab w:val="center" w:pos="3199"/>
              </w:tabs>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w:t>
            </w:r>
            <w:r>
              <w:rPr>
                <w:rFonts w:ascii="Times New Roman" w:hAnsi="Times New Roman" w:eastAsia="宋体" w:cs="Times New Roman"/>
                <w:sz w:val="24"/>
                <w:szCs w:val="24"/>
              </w:rPr>
              <w:t>其他（</w:t>
            </w:r>
            <w:r>
              <w:rPr>
                <w:rFonts w:ascii="Times New Roman" w:hAnsi="Times New Roman" w:eastAsia="宋体" w:cs="Times New Roman"/>
                <w:sz w:val="24"/>
                <w:szCs w:val="24"/>
                <w:u w:val="single"/>
              </w:rPr>
              <w:t>请文字说明其他活动内容）</w:t>
            </w:r>
          </w:p>
        </w:tc>
      </w:tr>
      <w:tr w14:paraId="1F58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3981F8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参与单位名称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8FCFBEE">
            <w:pPr>
              <w:widowControl/>
              <w:spacing w:line="360" w:lineRule="auto"/>
              <w:jc w:val="left"/>
              <w:rPr>
                <w:rFonts w:hint="default" w:ascii="Times New Roman" w:hAnsi="Times New Roman" w:eastAsia="宋体" w:cs="Times New Roman"/>
                <w:bCs/>
                <w:iCs/>
                <w:color w:val="000000"/>
                <w:sz w:val="24"/>
                <w:szCs w:val="24"/>
                <w:lang w:val="en-US" w:eastAsia="zh-CN"/>
              </w:rPr>
            </w:pPr>
            <w:r>
              <w:rPr>
                <w:rFonts w:hint="eastAsia" w:ascii="Times New Roman" w:hAnsi="Times New Roman" w:eastAsia="宋体" w:cs="Times New Roman"/>
                <w:bCs/>
                <w:iCs/>
                <w:color w:val="000000"/>
                <w:sz w:val="24"/>
                <w:szCs w:val="24"/>
                <w:lang w:val="en-US" w:eastAsia="zh-CN"/>
              </w:rPr>
              <w:t>华西证券、西部证券</w:t>
            </w:r>
          </w:p>
        </w:tc>
      </w:tr>
      <w:tr w14:paraId="6DA8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5B706D88">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时间</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3D33FBD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2026年</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日</w:t>
            </w:r>
            <w:r>
              <w:rPr>
                <w:rFonts w:hint="eastAsia" w:ascii="Times New Roman" w:hAnsi="Times New Roman" w:eastAsia="宋体" w:cs="Times New Roman"/>
                <w:bCs/>
                <w:iCs/>
                <w:color w:val="000000"/>
                <w:sz w:val="24"/>
                <w:szCs w:val="24"/>
                <w:lang w:val="en-US" w:eastAsia="zh-CN"/>
              </w:rPr>
              <w:t>16</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0—1</w:t>
            </w:r>
            <w:r>
              <w:rPr>
                <w:rFonts w:hint="eastAsia" w:ascii="Times New Roman" w:hAnsi="Times New Roman" w:eastAsia="宋体" w:cs="Times New Roman"/>
                <w:bCs/>
                <w:iCs/>
                <w:color w:val="000000"/>
                <w:sz w:val="24"/>
                <w:szCs w:val="24"/>
                <w:lang w:val="en-US" w:eastAsia="zh-CN"/>
              </w:rPr>
              <w:t>7</w:t>
            </w:r>
            <w:r>
              <w:rPr>
                <w:rFonts w:hint="eastAsia" w:ascii="Times New Roman" w:hAnsi="Times New Roman" w:eastAsia="宋体" w:cs="Times New Roman"/>
                <w:bCs/>
                <w:iCs/>
                <w:color w:val="000000"/>
                <w:sz w:val="24"/>
                <w:szCs w:val="24"/>
              </w:rPr>
              <w:t>:</w:t>
            </w:r>
            <w:r>
              <w:rPr>
                <w:rFonts w:hint="eastAsia" w:ascii="Times New Roman" w:hAnsi="Times New Roman" w:eastAsia="宋体" w:cs="Times New Roman"/>
                <w:bCs/>
                <w:iCs/>
                <w:color w:val="000000"/>
                <w:sz w:val="24"/>
                <w:szCs w:val="24"/>
                <w:lang w:val="en-US" w:eastAsia="zh-CN"/>
              </w:rPr>
              <w:t>0</w:t>
            </w:r>
            <w:r>
              <w:rPr>
                <w:rFonts w:hint="eastAsia" w:ascii="Times New Roman" w:hAnsi="Times New Roman" w:eastAsia="宋体" w:cs="Times New Roman"/>
                <w:bCs/>
                <w:iCs/>
                <w:color w:val="000000"/>
                <w:sz w:val="24"/>
                <w:szCs w:val="24"/>
              </w:rPr>
              <w:t>0</w:t>
            </w:r>
          </w:p>
        </w:tc>
      </w:tr>
      <w:tr w14:paraId="37B0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7C2F642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地点</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66074CC">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lang w:val="en-US" w:eastAsia="zh-CN"/>
              </w:rPr>
              <w:t>浙江省台州市台州湾新区海虹大道100号公司办公楼4楼会议室</w:t>
            </w:r>
          </w:p>
        </w:tc>
      </w:tr>
      <w:tr w14:paraId="0608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10B3A92">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上市公司接待人员姓名</w:t>
            </w: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451EBBB9">
            <w:pPr>
              <w:spacing w:line="480" w:lineRule="atLeas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董事会秘书 胡伟杰</w:t>
            </w:r>
          </w:p>
        </w:tc>
      </w:tr>
      <w:tr w14:paraId="35DD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931DD4D">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投资者关系活动主要内容介绍</w:t>
            </w:r>
          </w:p>
          <w:p w14:paraId="3314DB79">
            <w:pPr>
              <w:jc w:val="center"/>
              <w:rPr>
                <w:rFonts w:ascii="Times New Roman" w:hAnsi="Times New Roman" w:eastAsia="宋体" w:cs="Times New Roman"/>
                <w:bCs/>
                <w:iCs/>
                <w:color w:val="000000"/>
                <w:sz w:val="24"/>
                <w:szCs w:val="24"/>
              </w:rPr>
            </w:pPr>
          </w:p>
        </w:tc>
        <w:tc>
          <w:tcPr>
            <w:tcW w:w="6975" w:type="dxa"/>
            <w:tcBorders>
              <w:top w:val="single" w:color="auto" w:sz="4" w:space="0"/>
              <w:left w:val="single" w:color="auto" w:sz="4" w:space="0"/>
              <w:bottom w:val="single" w:color="auto" w:sz="4" w:space="0"/>
              <w:right w:val="single" w:color="auto" w:sz="4" w:space="0"/>
            </w:tcBorders>
            <w:shd w:val="clear" w:color="auto" w:fill="auto"/>
          </w:tcPr>
          <w:p w14:paraId="2E8AE50E">
            <w:pPr>
              <w:rPr>
                <w:rFonts w:ascii="Times New Roman" w:hAnsi="Times New Roman" w:cs="Times New Roman"/>
                <w:b/>
                <w:sz w:val="24"/>
                <w:szCs w:val="24"/>
              </w:rPr>
            </w:pPr>
            <w:r>
              <w:rPr>
                <w:rFonts w:hint="eastAsia" w:ascii="Times New Roman" w:hAnsi="Times New Roman" w:cs="Times New Roman"/>
                <w:b/>
                <w:sz w:val="24"/>
                <w:szCs w:val="24"/>
              </w:rPr>
              <w:t>一、公司董事会秘书胡伟杰向调研对象介绍了公司基本情况：</w:t>
            </w:r>
          </w:p>
          <w:p w14:paraId="0597E436">
            <w:pPr>
              <w:rPr>
                <w:rFonts w:ascii="Times New Roman" w:hAnsi="Times New Roman" w:cs="Times New Roman"/>
                <w:bCs/>
                <w:sz w:val="24"/>
                <w:szCs w:val="24"/>
              </w:rPr>
            </w:pPr>
            <w:r>
              <w:rPr>
                <w:rFonts w:hint="eastAsia" w:ascii="Times New Roman" w:hAnsi="Times New Roman" w:cs="Times New Roman"/>
                <w:bCs/>
                <w:sz w:val="24"/>
                <w:szCs w:val="24"/>
              </w:rPr>
              <w:t>泰鸿万立自设立以来专注于汽车/电池等领域相关结构件产品、以及汽车踏板总成、加油/充电口盖总成、防撞梁、铰链、限位器等功能件产品的研发、制造。公司持续提升经营管理、技术创新、生产制造、市场营销等综合实力，不断拓展市场、优化客户结构，已成为吉利、长城、小米、某北美头部新能源车企、理想、沃尔沃、奇瑞、大众、丰田、小鹏、蔚来、上汽、广汽、领跑、通用五菱、宁德时代、海斯坦普等众多国内外知名整车厂和大型零部件企业的合作伙伴。近年来，公司不断提高经营管理水平，加强成本控制，全力抢抓市场机遇，，加大研发创新投入，积极推动自动化、数字化和智能制造系统建设，已成为行业内知名的零部件企业。</w:t>
            </w:r>
          </w:p>
          <w:p w14:paraId="57E93BA5">
            <w:pPr>
              <w:rPr>
                <w:rFonts w:ascii="Times New Roman" w:hAnsi="Times New Roman" w:cs="Times New Roman"/>
                <w:bCs/>
                <w:sz w:val="24"/>
                <w:szCs w:val="24"/>
              </w:rPr>
            </w:pPr>
          </w:p>
          <w:p w14:paraId="5BEB410A">
            <w:pPr>
              <w:rPr>
                <w:rFonts w:ascii="宋体" w:hAnsi="宋体" w:eastAsia="宋体" w:cs="宋体"/>
                <w:bCs/>
                <w:iCs/>
                <w:color w:val="000000"/>
                <w:sz w:val="24"/>
                <w:szCs w:val="24"/>
              </w:rPr>
            </w:pPr>
            <w:r>
              <w:rPr>
                <w:rFonts w:hint="eastAsia" w:ascii="Times New Roman" w:hAnsi="Times New Roman" w:cs="Times New Roman"/>
                <w:b/>
                <w:sz w:val="24"/>
                <w:szCs w:val="24"/>
              </w:rPr>
              <w:t>二、公司董事会秘书就投资者提问作出相应回复，主要如下：</w:t>
            </w:r>
          </w:p>
          <w:p w14:paraId="1DEF19CE">
            <w:pPr>
              <w:rPr>
                <w:rStyle w:val="11"/>
                <w:rFonts w:hint="eastAsia" w:ascii="宋体" w:hAnsi="宋体" w:eastAsia="宋体" w:cs="宋体"/>
                <w:bCs/>
                <w:color w:val="0F1115"/>
                <w:sz w:val="24"/>
                <w:szCs w:val="24"/>
                <w:shd w:val="clear" w:color="auto" w:fill="FFFFFF"/>
              </w:rPr>
            </w:pPr>
            <w:r>
              <w:rPr>
                <w:rStyle w:val="11"/>
                <w:rFonts w:hint="eastAsia" w:ascii="宋体" w:hAnsi="宋体" w:eastAsia="宋体" w:cs="宋体"/>
                <w:bCs/>
                <w:color w:val="0F1115"/>
                <w:sz w:val="24"/>
                <w:szCs w:val="24"/>
                <w:shd w:val="clear" w:color="auto" w:fill="FFFFFF"/>
              </w:rPr>
              <w:t>问题1：看到公司25年及26年第一季度营收和利润实现了双增长，请问增长的主要驱动力是什么？</w:t>
            </w:r>
          </w:p>
          <w:p w14:paraId="251D25F7">
            <w:pPr>
              <w:rPr>
                <w:rStyle w:val="11"/>
                <w:rFonts w:hint="eastAsia" w:ascii="宋体" w:hAnsi="宋体" w:eastAsia="宋体" w:cs="宋体"/>
                <w:b w:val="0"/>
                <w:color w:val="0F1115"/>
                <w:sz w:val="24"/>
                <w:szCs w:val="24"/>
                <w:shd w:val="clear" w:color="auto" w:fill="FFFFFF"/>
                <w:lang w:eastAsia="zh-CN"/>
              </w:rPr>
            </w:pPr>
            <w:r>
              <w:rPr>
                <w:rStyle w:val="11"/>
                <w:rFonts w:hint="eastAsia" w:ascii="宋体" w:hAnsi="宋体" w:eastAsia="宋体" w:cs="宋体"/>
                <w:b w:val="0"/>
                <w:color w:val="0F1115"/>
                <w:sz w:val="24"/>
                <w:szCs w:val="24"/>
                <w:shd w:val="clear" w:color="auto" w:fill="FFFFFF"/>
              </w:rPr>
              <w:t>答：近年来，公司持续提升综合能力，不断拓展新客户和新项目，已成为吉利、长城、沃尔沃、奇瑞、某北美头部新能源车企、小米、理想、大众、丰田、奥迪、蔚来、小鹏、领跑、上汽、广汽、通用五菱等众多国内外知名整车厂商的一级供应商，同时，也是宁德时代、海斯坦普等众多大型零部件企业的合作伙伴，优质的客户资源和客户结构为公司业务实现长期稳定增长奠定了基础；另一方面，公司抓住新能源汽车占有率不断提高的市场契机，大力开发“明星”车型和平台化项目，有效加速业务增长和业绩提升。</w:t>
            </w:r>
            <w:bookmarkStart w:id="0" w:name="_GoBack"/>
            <w:bookmarkEnd w:id="0"/>
          </w:p>
          <w:p w14:paraId="219E2B45">
            <w:pPr>
              <w:rPr>
                <w:rStyle w:val="11"/>
                <w:rFonts w:ascii="宋体" w:hAnsi="宋体" w:eastAsia="宋体" w:cs="宋体"/>
                <w:bCs/>
                <w:color w:val="0F1115"/>
                <w:sz w:val="24"/>
                <w:szCs w:val="24"/>
                <w:shd w:val="clear" w:color="auto" w:fill="FFFFFF"/>
              </w:rPr>
            </w:pPr>
          </w:p>
          <w:p w14:paraId="71DDCAE5">
            <w:pPr>
              <w:rPr>
                <w:rStyle w:val="11"/>
                <w:rFonts w:hint="eastAsia" w:ascii="宋体" w:hAnsi="宋体" w:eastAsia="宋体" w:cs="宋体"/>
                <w:bCs/>
                <w:color w:val="0F1115"/>
                <w:sz w:val="24"/>
                <w:szCs w:val="24"/>
                <w:shd w:val="clear" w:color="auto" w:fill="FFFFFF"/>
              </w:rPr>
            </w:pPr>
            <w:r>
              <w:rPr>
                <w:rStyle w:val="11"/>
                <w:rFonts w:hint="eastAsia" w:ascii="宋体" w:hAnsi="宋体" w:eastAsia="宋体" w:cs="宋体"/>
                <w:bCs/>
                <w:color w:val="0F1115"/>
                <w:sz w:val="24"/>
                <w:szCs w:val="24"/>
                <w:shd w:val="clear" w:color="auto" w:fill="FFFFFF"/>
              </w:rPr>
              <w:t>问题2：公司去年在苏州、天津、沈阳、武汉等地设立了子公司，推进全国化布局，这将带来哪些竞争优势？</w:t>
            </w:r>
          </w:p>
          <w:p w14:paraId="23F7D473">
            <w:pPr>
              <w:rPr>
                <w:rStyle w:val="11"/>
                <w:rFonts w:hint="default" w:ascii="宋体" w:hAnsi="宋体" w:eastAsia="宋体" w:cs="宋体"/>
                <w:b w:val="0"/>
                <w:color w:val="0F1115"/>
                <w:sz w:val="24"/>
                <w:szCs w:val="24"/>
                <w:shd w:val="clear" w:color="auto" w:fill="FFFFFF"/>
                <w:lang w:val="en-US" w:eastAsia="zh-CN"/>
              </w:rPr>
            </w:pPr>
            <w:r>
              <w:rPr>
                <w:rStyle w:val="11"/>
                <w:rFonts w:hint="eastAsia" w:ascii="宋体" w:hAnsi="宋体" w:eastAsia="宋体" w:cs="宋体"/>
                <w:b w:val="0"/>
                <w:color w:val="0F1115"/>
                <w:sz w:val="24"/>
                <w:szCs w:val="24"/>
                <w:shd w:val="clear" w:color="auto" w:fill="FFFFFF"/>
              </w:rPr>
              <w:t>答：公司通过在主要汽车产业集聚地就近设厂，能显著缩短供货半径，快速响应客户需求，降低物流成本，同时也更紧密地服务各大核心客户的生产基地，有利于巩固和提升市场份额，满足不断增长的业务需求。</w:t>
            </w:r>
          </w:p>
          <w:p w14:paraId="13A7E475">
            <w:pPr>
              <w:rPr>
                <w:rStyle w:val="11"/>
                <w:rFonts w:ascii="Segoe UI" w:hAnsi="Segoe UI" w:eastAsia="宋体" w:cs="Segoe UI"/>
                <w:bCs/>
                <w:color w:val="0F1115"/>
                <w:sz w:val="16"/>
                <w:szCs w:val="16"/>
                <w:shd w:val="clear" w:color="auto" w:fill="FFFFFF"/>
              </w:rPr>
            </w:pPr>
          </w:p>
          <w:p w14:paraId="72CE5366">
            <w:pPr>
              <w:rPr>
                <w:rStyle w:val="11"/>
                <w:rFonts w:hint="eastAsia" w:ascii="宋体" w:hAnsi="宋体" w:eastAsia="宋体" w:cs="宋体"/>
                <w:bCs/>
                <w:color w:val="0F1115"/>
                <w:sz w:val="24"/>
                <w:szCs w:val="24"/>
                <w:shd w:val="clear" w:color="auto" w:fill="FFFFFF"/>
              </w:rPr>
            </w:pPr>
            <w:r>
              <w:rPr>
                <w:rStyle w:val="11"/>
                <w:rFonts w:hint="eastAsia" w:ascii="宋体" w:hAnsi="宋体" w:eastAsia="宋体" w:cs="宋体"/>
                <w:bCs/>
                <w:color w:val="0F1115"/>
                <w:sz w:val="24"/>
                <w:szCs w:val="24"/>
                <w:shd w:val="clear" w:color="auto" w:fill="FFFFFF"/>
              </w:rPr>
              <w:t>问题</w:t>
            </w:r>
            <w:r>
              <w:rPr>
                <w:rStyle w:val="11"/>
                <w:rFonts w:hint="eastAsia" w:ascii="宋体" w:hAnsi="宋体" w:eastAsia="宋体" w:cs="宋体"/>
                <w:bCs/>
                <w:color w:val="0F1115"/>
                <w:sz w:val="24"/>
                <w:szCs w:val="24"/>
                <w:shd w:val="clear" w:color="auto" w:fill="FFFFFF"/>
                <w:lang w:val="en-US" w:eastAsia="zh-CN"/>
              </w:rPr>
              <w:t>3</w:t>
            </w:r>
            <w:r>
              <w:rPr>
                <w:rStyle w:val="11"/>
                <w:rFonts w:hint="eastAsia" w:ascii="宋体" w:hAnsi="宋体" w:eastAsia="宋体" w:cs="宋体"/>
                <w:bCs/>
                <w:color w:val="0F1115"/>
                <w:sz w:val="24"/>
                <w:szCs w:val="24"/>
                <w:shd w:val="clear" w:color="auto" w:fill="FFFFFF"/>
              </w:rPr>
              <w:t>：公司未来是否会考虑海外布局？</w:t>
            </w:r>
          </w:p>
          <w:p w14:paraId="56E663BA">
            <w:pPr>
              <w:rPr>
                <w:rFonts w:hint="default" w:ascii="Segoe UI" w:hAnsi="Segoe UI" w:eastAsia="Segoe UI" w:cs="Segoe UI"/>
                <w:i w:val="0"/>
                <w:iCs w:val="0"/>
                <w:caps w:val="0"/>
                <w:color w:val="0F1115"/>
                <w:spacing w:val="0"/>
                <w:sz w:val="16"/>
                <w:szCs w:val="16"/>
                <w:shd w:val="clear" w:fill="FFFFFF"/>
              </w:rPr>
            </w:pPr>
            <w:r>
              <w:rPr>
                <w:rStyle w:val="11"/>
                <w:rFonts w:hint="eastAsia" w:ascii="宋体" w:hAnsi="宋体" w:eastAsia="宋体" w:cs="宋体"/>
                <w:b w:val="0"/>
                <w:color w:val="0F1115"/>
                <w:sz w:val="24"/>
                <w:szCs w:val="24"/>
                <w:shd w:val="clear" w:color="auto" w:fill="FFFFFF"/>
              </w:rPr>
              <w:t>答：截至目前，公司出口业务规模较小。后续将根据业务发展格局和客户的实际需求，再审慎决策是否进行海外布局</w:t>
            </w:r>
            <w:r>
              <w:rPr>
                <w:rStyle w:val="11"/>
                <w:rFonts w:hint="default" w:ascii="宋体" w:hAnsi="宋体" w:eastAsia="宋体" w:cs="宋体"/>
                <w:b w:val="0"/>
                <w:color w:val="0F1115"/>
                <w:sz w:val="24"/>
                <w:szCs w:val="24"/>
                <w:shd w:val="clear" w:color="auto" w:fill="FFFFFF"/>
              </w:rPr>
              <w:fldChar w:fldCharType="begin"/>
            </w:r>
            <w:r>
              <w:rPr>
                <w:rStyle w:val="11"/>
                <w:rFonts w:hint="default" w:ascii="宋体" w:hAnsi="宋体" w:eastAsia="宋体" w:cs="宋体"/>
                <w:b w:val="0"/>
                <w:color w:val="0F1115"/>
                <w:sz w:val="24"/>
                <w:szCs w:val="24"/>
                <w:shd w:val="clear" w:color="auto" w:fill="FFFFFF"/>
              </w:rPr>
              <w:instrText xml:space="preserve"> HYPERLINK "http://stock.stockstar.com/RB2026031800001148.shtml" \t "https://chat.deepseek.com/a/chat/s/_blank" </w:instrText>
            </w:r>
            <w:r>
              <w:rPr>
                <w:rStyle w:val="11"/>
                <w:rFonts w:hint="default" w:ascii="宋体" w:hAnsi="宋体" w:eastAsia="宋体" w:cs="宋体"/>
                <w:b w:val="0"/>
                <w:color w:val="0F1115"/>
                <w:sz w:val="24"/>
                <w:szCs w:val="24"/>
                <w:shd w:val="clear" w:color="auto" w:fill="FFFFFF"/>
              </w:rPr>
              <w:fldChar w:fldCharType="separate"/>
            </w:r>
            <w:r>
              <w:rPr>
                <w:rStyle w:val="11"/>
                <w:rFonts w:hint="default" w:ascii="宋体" w:hAnsi="宋体" w:eastAsia="宋体" w:cs="宋体"/>
                <w:b w:val="0"/>
                <w:color w:val="0F1115"/>
                <w:sz w:val="24"/>
                <w:szCs w:val="24"/>
                <w:shd w:val="clear" w:color="auto" w:fill="FFFFFF"/>
              </w:rPr>
              <w:fldChar w:fldCharType="end"/>
            </w:r>
            <w:r>
              <w:rPr>
                <w:rStyle w:val="11"/>
                <w:rFonts w:hint="default" w:ascii="宋体" w:hAnsi="宋体" w:eastAsia="宋体" w:cs="宋体"/>
                <w:b w:val="0"/>
                <w:color w:val="0F1115"/>
                <w:sz w:val="24"/>
                <w:szCs w:val="24"/>
                <w:shd w:val="clear" w:color="auto" w:fill="FFFFFF"/>
              </w:rPr>
              <w:fldChar w:fldCharType="begin"/>
            </w:r>
            <w:r>
              <w:rPr>
                <w:rStyle w:val="11"/>
                <w:rFonts w:hint="default" w:ascii="宋体" w:hAnsi="宋体" w:eastAsia="宋体" w:cs="宋体"/>
                <w:b w:val="0"/>
                <w:color w:val="0F1115"/>
                <w:sz w:val="24"/>
                <w:szCs w:val="24"/>
                <w:shd w:val="clear" w:color="auto" w:fill="FFFFFF"/>
              </w:rPr>
              <w:instrText xml:space="preserve"> HYPERLINK "https://wap.stockstar.com/detail/RB2026031700028747" \t "https://chat.deepseek.com/a/chat/s/_blank" </w:instrText>
            </w:r>
            <w:r>
              <w:rPr>
                <w:rStyle w:val="11"/>
                <w:rFonts w:hint="default" w:ascii="宋体" w:hAnsi="宋体" w:eastAsia="宋体" w:cs="宋体"/>
                <w:b w:val="0"/>
                <w:color w:val="0F1115"/>
                <w:sz w:val="24"/>
                <w:szCs w:val="24"/>
                <w:shd w:val="clear" w:color="auto" w:fill="FFFFFF"/>
              </w:rPr>
              <w:fldChar w:fldCharType="separate"/>
            </w:r>
            <w:r>
              <w:rPr>
                <w:rStyle w:val="11"/>
                <w:rFonts w:hint="default" w:ascii="宋体" w:hAnsi="宋体" w:eastAsia="宋体" w:cs="宋体"/>
                <w:b w:val="0"/>
                <w:color w:val="0F1115"/>
                <w:sz w:val="24"/>
                <w:szCs w:val="24"/>
                <w:shd w:val="clear" w:color="auto" w:fill="FFFFFF"/>
              </w:rPr>
              <w:fldChar w:fldCharType="end"/>
            </w:r>
            <w:r>
              <w:rPr>
                <w:rStyle w:val="11"/>
                <w:rFonts w:hint="default" w:ascii="宋体" w:hAnsi="宋体" w:eastAsia="宋体" w:cs="宋体"/>
                <w:b w:val="0"/>
                <w:color w:val="0F1115"/>
                <w:sz w:val="24"/>
                <w:szCs w:val="24"/>
                <w:shd w:val="clear" w:color="auto" w:fill="FFFFFF"/>
              </w:rPr>
              <w:t>。目前公司仍将主要精力集中于国内市场，特别是持续深挖新能源汽车领域的客户需求，通过优化客户结构、加强技术研发和产能建设来提升综合竞争力。</w:t>
            </w:r>
          </w:p>
          <w:p w14:paraId="276A8798">
            <w:pPr>
              <w:rPr>
                <w:rFonts w:ascii="宋体" w:hAnsi="宋体" w:eastAsia="宋体" w:cs="宋体"/>
                <w:color w:val="0F1115"/>
                <w:sz w:val="24"/>
                <w:szCs w:val="24"/>
                <w:shd w:val="clear" w:color="auto" w:fill="FFFFFF"/>
              </w:rPr>
            </w:pPr>
          </w:p>
          <w:p w14:paraId="792BF803">
            <w:pPr>
              <w:rPr>
                <w:rFonts w:hint="eastAsia" w:ascii="宋体" w:hAnsi="宋体" w:eastAsia="宋体" w:cs="宋体"/>
                <w:b/>
                <w:bCs/>
                <w:color w:val="0F1115"/>
                <w:sz w:val="24"/>
                <w:szCs w:val="24"/>
                <w:shd w:val="clear" w:color="auto" w:fill="FFFFFF"/>
              </w:rPr>
            </w:pPr>
            <w:r>
              <w:rPr>
                <w:rFonts w:hint="eastAsia" w:ascii="宋体" w:hAnsi="宋体" w:eastAsia="宋体" w:cs="宋体"/>
                <w:b/>
                <w:bCs/>
                <w:color w:val="0F1115"/>
                <w:sz w:val="24"/>
                <w:szCs w:val="24"/>
                <w:shd w:val="clear" w:color="auto" w:fill="FFFFFF"/>
              </w:rPr>
              <w:t>问题4：请问公司如何看待汽车轻量化趋势？公司在轻量化方面有哪些储备？</w:t>
            </w:r>
          </w:p>
          <w:p w14:paraId="07630867">
            <w:pPr>
              <w:rPr>
                <w:rFonts w:ascii="Segoe UI" w:hAnsi="Segoe UI" w:eastAsia="Segoe UI" w:cs="Segoe UI"/>
                <w:color w:val="0F1115"/>
                <w:sz w:val="16"/>
                <w:szCs w:val="16"/>
                <w:shd w:val="clear" w:color="auto" w:fill="FFFFFF"/>
              </w:rPr>
            </w:pPr>
            <w:r>
              <w:rPr>
                <w:rFonts w:hint="eastAsia" w:ascii="宋体" w:hAnsi="宋体" w:eastAsia="宋体" w:cs="宋体"/>
                <w:color w:val="0F1115"/>
                <w:sz w:val="24"/>
                <w:szCs w:val="24"/>
                <w:shd w:val="clear" w:color="auto" w:fill="FFFFFF"/>
              </w:rPr>
              <w:t>答：轻量化已成为汽车产业发展的技术趋势之一，对新能源汽车提升续航里程尤为关键。随着高强度钢、铝合金、复合材料等轻质材料应用增加，结构件与功能件的单车价值持续提升，公司已在该领域进行积极技术储备，聚焦于轻质材料的应用技术和工艺创新。公司在轻量化领域的技术储备和产能布局，将有助于抓住这一产业机遇。</w:t>
            </w:r>
          </w:p>
        </w:tc>
      </w:tr>
      <w:tr w14:paraId="3A9B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36480C74">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关于本次活动是否涉及应当披露重大信息的说明</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1BB51810">
            <w:pP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本次活动，公司严格按照相关规定交流沟通，不存在未公开重大信息泄露等情形。</w:t>
            </w:r>
          </w:p>
        </w:tc>
      </w:tr>
      <w:tr w14:paraId="6C33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22938683">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附件清单（如有）</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6C6CC6A6">
            <w:pPr>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无</w:t>
            </w:r>
          </w:p>
        </w:tc>
      </w:tr>
      <w:tr w14:paraId="6BB7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08" w:type="dxa"/>
            <w:tcBorders>
              <w:top w:val="single" w:color="auto" w:sz="4" w:space="0"/>
              <w:left w:val="single" w:color="auto" w:sz="4" w:space="0"/>
              <w:bottom w:val="single" w:color="auto" w:sz="4" w:space="0"/>
              <w:right w:val="single" w:color="auto" w:sz="4" w:space="0"/>
            </w:tcBorders>
            <w:shd w:val="clear" w:color="auto" w:fill="auto"/>
            <w:vAlign w:val="center"/>
          </w:tcPr>
          <w:p w14:paraId="67D10F65">
            <w:pPr>
              <w:jc w:val="center"/>
              <w:rPr>
                <w:rFonts w:ascii="Times New Roman" w:hAnsi="Times New Roman" w:eastAsia="宋体" w:cs="Times New Roman"/>
                <w:bCs/>
                <w:iCs/>
                <w:color w:val="000000"/>
                <w:sz w:val="24"/>
                <w:szCs w:val="24"/>
              </w:rPr>
            </w:pPr>
            <w:r>
              <w:rPr>
                <w:rFonts w:ascii="Times New Roman" w:hAnsi="Times New Roman" w:eastAsia="宋体" w:cs="Times New Roman"/>
                <w:bCs/>
                <w:iCs/>
                <w:color w:val="000000"/>
                <w:sz w:val="24"/>
                <w:szCs w:val="24"/>
              </w:rPr>
              <w:t>日期</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center"/>
          </w:tcPr>
          <w:p w14:paraId="0B605C8C">
            <w:pPr>
              <w:jc w:val="left"/>
              <w:rPr>
                <w:rFonts w:ascii="Times New Roman" w:hAnsi="Times New Roman" w:eastAsia="宋体" w:cs="Times New Roman"/>
                <w:bCs/>
                <w:iCs/>
                <w:color w:val="000000"/>
                <w:sz w:val="24"/>
                <w:szCs w:val="24"/>
              </w:rPr>
            </w:pPr>
            <w:r>
              <w:rPr>
                <w:rFonts w:hint="eastAsia" w:ascii="Times New Roman" w:hAnsi="Times New Roman" w:eastAsia="宋体" w:cs="Times New Roman"/>
                <w:bCs/>
                <w:iCs/>
                <w:color w:val="000000"/>
                <w:sz w:val="24"/>
                <w:szCs w:val="24"/>
              </w:rPr>
              <w:t>2026年</w:t>
            </w:r>
            <w:r>
              <w:rPr>
                <w:rFonts w:hint="eastAsia" w:ascii="Times New Roman" w:hAnsi="Times New Roman" w:eastAsia="宋体" w:cs="Times New Roman"/>
                <w:bCs/>
                <w:iCs/>
                <w:color w:val="000000"/>
                <w:sz w:val="24"/>
                <w:szCs w:val="24"/>
                <w:lang w:val="en-US" w:eastAsia="zh-CN"/>
              </w:rPr>
              <w:t>5</w:t>
            </w:r>
            <w:r>
              <w:rPr>
                <w:rFonts w:hint="eastAsia" w:ascii="Times New Roman" w:hAnsi="Times New Roman" w:eastAsia="宋体" w:cs="Times New Roman"/>
                <w:bCs/>
                <w:iCs/>
                <w:color w:val="000000"/>
                <w:sz w:val="24"/>
                <w:szCs w:val="24"/>
              </w:rPr>
              <w:t>月</w:t>
            </w:r>
            <w:r>
              <w:rPr>
                <w:rFonts w:hint="eastAsia" w:ascii="Times New Roman" w:hAnsi="Times New Roman" w:eastAsia="宋体" w:cs="Times New Roman"/>
                <w:bCs/>
                <w:iCs/>
                <w:color w:val="000000"/>
                <w:sz w:val="24"/>
                <w:szCs w:val="24"/>
                <w:lang w:val="en-US" w:eastAsia="zh-CN"/>
              </w:rPr>
              <w:t>11</w:t>
            </w:r>
            <w:r>
              <w:rPr>
                <w:rFonts w:hint="eastAsia" w:ascii="Times New Roman" w:hAnsi="Times New Roman" w:eastAsia="宋体" w:cs="Times New Roman"/>
                <w:bCs/>
                <w:iCs/>
                <w:color w:val="000000"/>
                <w:sz w:val="24"/>
                <w:szCs w:val="24"/>
              </w:rPr>
              <w:t>日</w:t>
            </w:r>
          </w:p>
        </w:tc>
      </w:tr>
    </w:tbl>
    <w:p w14:paraId="21DA46E3">
      <w:pPr>
        <w:rPr>
          <w:rFonts w:ascii="Times New Roman" w:hAnsi="Times New Roman" w:cs="Times New Roman"/>
          <w:sz w:val="24"/>
          <w:szCs w:val="24"/>
        </w:rPr>
      </w:pPr>
    </w:p>
    <w:sectPr>
      <w:pgSz w:w="11906" w:h="16838"/>
      <w:pgMar w:top="1361"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yMjEyZWQ2MjJjMDMyYjNkOGJiODBjYmQzYWU0NzYifQ=="/>
  </w:docVars>
  <w:rsids>
    <w:rsidRoot w:val="00172A27"/>
    <w:rsid w:val="00014C9A"/>
    <w:rsid w:val="00041346"/>
    <w:rsid w:val="00051138"/>
    <w:rsid w:val="00077269"/>
    <w:rsid w:val="000C202A"/>
    <w:rsid w:val="000C51C5"/>
    <w:rsid w:val="001012FC"/>
    <w:rsid w:val="00135507"/>
    <w:rsid w:val="0016783D"/>
    <w:rsid w:val="00172A27"/>
    <w:rsid w:val="001B2BF9"/>
    <w:rsid w:val="001F21FA"/>
    <w:rsid w:val="0021215C"/>
    <w:rsid w:val="00223F94"/>
    <w:rsid w:val="00270A26"/>
    <w:rsid w:val="002E29D6"/>
    <w:rsid w:val="003268FF"/>
    <w:rsid w:val="00380C08"/>
    <w:rsid w:val="0038452F"/>
    <w:rsid w:val="003B5F7A"/>
    <w:rsid w:val="003E24FB"/>
    <w:rsid w:val="003F124B"/>
    <w:rsid w:val="00466BA7"/>
    <w:rsid w:val="00524A7E"/>
    <w:rsid w:val="005827B7"/>
    <w:rsid w:val="005A6039"/>
    <w:rsid w:val="005D7C44"/>
    <w:rsid w:val="00657B07"/>
    <w:rsid w:val="0066264A"/>
    <w:rsid w:val="00663864"/>
    <w:rsid w:val="00675087"/>
    <w:rsid w:val="006C7B83"/>
    <w:rsid w:val="006D0743"/>
    <w:rsid w:val="007552C4"/>
    <w:rsid w:val="008746DE"/>
    <w:rsid w:val="008E3248"/>
    <w:rsid w:val="00973C3D"/>
    <w:rsid w:val="00991C92"/>
    <w:rsid w:val="009A668A"/>
    <w:rsid w:val="00A21808"/>
    <w:rsid w:val="00A222A4"/>
    <w:rsid w:val="00A25D6E"/>
    <w:rsid w:val="00A4567D"/>
    <w:rsid w:val="00AB2E69"/>
    <w:rsid w:val="00AB4173"/>
    <w:rsid w:val="00B55B2B"/>
    <w:rsid w:val="00B62565"/>
    <w:rsid w:val="00BD4342"/>
    <w:rsid w:val="00C70537"/>
    <w:rsid w:val="00C85A2C"/>
    <w:rsid w:val="00D0612E"/>
    <w:rsid w:val="00D44537"/>
    <w:rsid w:val="00D459F5"/>
    <w:rsid w:val="00D9564B"/>
    <w:rsid w:val="00DC028D"/>
    <w:rsid w:val="00DC1F47"/>
    <w:rsid w:val="00E10369"/>
    <w:rsid w:val="00E328A4"/>
    <w:rsid w:val="00E86208"/>
    <w:rsid w:val="00E90257"/>
    <w:rsid w:val="00E9742B"/>
    <w:rsid w:val="00EA2B85"/>
    <w:rsid w:val="00F15A5A"/>
    <w:rsid w:val="00F22009"/>
    <w:rsid w:val="00F8103E"/>
    <w:rsid w:val="00FA34DF"/>
    <w:rsid w:val="00FB6718"/>
    <w:rsid w:val="00FD0096"/>
    <w:rsid w:val="01062EEC"/>
    <w:rsid w:val="016F5A56"/>
    <w:rsid w:val="01EB1819"/>
    <w:rsid w:val="02385327"/>
    <w:rsid w:val="0375362D"/>
    <w:rsid w:val="03777222"/>
    <w:rsid w:val="03BE7D76"/>
    <w:rsid w:val="03C625F2"/>
    <w:rsid w:val="04161698"/>
    <w:rsid w:val="04DE5A5C"/>
    <w:rsid w:val="05424839"/>
    <w:rsid w:val="05434EA7"/>
    <w:rsid w:val="06976AC0"/>
    <w:rsid w:val="06C84AC8"/>
    <w:rsid w:val="083B7C89"/>
    <w:rsid w:val="083E0250"/>
    <w:rsid w:val="08690995"/>
    <w:rsid w:val="089F329F"/>
    <w:rsid w:val="08DC05D3"/>
    <w:rsid w:val="09F96578"/>
    <w:rsid w:val="09FE4360"/>
    <w:rsid w:val="0A283ED3"/>
    <w:rsid w:val="0A4933F3"/>
    <w:rsid w:val="0A5B7E05"/>
    <w:rsid w:val="0A613FA4"/>
    <w:rsid w:val="0AB40311"/>
    <w:rsid w:val="0D0A0C18"/>
    <w:rsid w:val="0D4D1C39"/>
    <w:rsid w:val="0DAC6CBC"/>
    <w:rsid w:val="0DDF7558"/>
    <w:rsid w:val="0E2A0014"/>
    <w:rsid w:val="0E7D1D19"/>
    <w:rsid w:val="1047786D"/>
    <w:rsid w:val="1084548A"/>
    <w:rsid w:val="10A65B38"/>
    <w:rsid w:val="114F61E9"/>
    <w:rsid w:val="116157BF"/>
    <w:rsid w:val="11641C95"/>
    <w:rsid w:val="11BC387F"/>
    <w:rsid w:val="120053C3"/>
    <w:rsid w:val="125235D7"/>
    <w:rsid w:val="12EC4A4B"/>
    <w:rsid w:val="136B71AF"/>
    <w:rsid w:val="13D03611"/>
    <w:rsid w:val="13E0137B"/>
    <w:rsid w:val="14F95EB0"/>
    <w:rsid w:val="15006D95"/>
    <w:rsid w:val="157633D7"/>
    <w:rsid w:val="15874F52"/>
    <w:rsid w:val="1863633D"/>
    <w:rsid w:val="1901601B"/>
    <w:rsid w:val="19B06616"/>
    <w:rsid w:val="19BE73EB"/>
    <w:rsid w:val="1A977CB9"/>
    <w:rsid w:val="1C7B60E4"/>
    <w:rsid w:val="1D786CE6"/>
    <w:rsid w:val="1F2D27EA"/>
    <w:rsid w:val="1FB77D57"/>
    <w:rsid w:val="1FB842FD"/>
    <w:rsid w:val="20131F16"/>
    <w:rsid w:val="21F26E49"/>
    <w:rsid w:val="222C490C"/>
    <w:rsid w:val="2261150A"/>
    <w:rsid w:val="228A52D3"/>
    <w:rsid w:val="23206FB3"/>
    <w:rsid w:val="238D5AC6"/>
    <w:rsid w:val="23F52C20"/>
    <w:rsid w:val="244A1145"/>
    <w:rsid w:val="24C1009C"/>
    <w:rsid w:val="255F07E0"/>
    <w:rsid w:val="26E70454"/>
    <w:rsid w:val="276B1BCF"/>
    <w:rsid w:val="278774F8"/>
    <w:rsid w:val="28BF17CE"/>
    <w:rsid w:val="28CF2509"/>
    <w:rsid w:val="29F574D6"/>
    <w:rsid w:val="2A2E0C3A"/>
    <w:rsid w:val="2AE732C3"/>
    <w:rsid w:val="2B144050"/>
    <w:rsid w:val="2BC5112A"/>
    <w:rsid w:val="2C936FB3"/>
    <w:rsid w:val="2D1E4F96"/>
    <w:rsid w:val="2D5072E5"/>
    <w:rsid w:val="2D60735C"/>
    <w:rsid w:val="2D617A2B"/>
    <w:rsid w:val="2D630BFB"/>
    <w:rsid w:val="2D6D28C8"/>
    <w:rsid w:val="2F020DFC"/>
    <w:rsid w:val="2F53679D"/>
    <w:rsid w:val="2FDE6C5E"/>
    <w:rsid w:val="30FB5027"/>
    <w:rsid w:val="31AE073A"/>
    <w:rsid w:val="32216AB7"/>
    <w:rsid w:val="32764F2C"/>
    <w:rsid w:val="3499735C"/>
    <w:rsid w:val="34D72A5E"/>
    <w:rsid w:val="35150A87"/>
    <w:rsid w:val="35A029B7"/>
    <w:rsid w:val="35D2229E"/>
    <w:rsid w:val="35DE1708"/>
    <w:rsid w:val="36C879B2"/>
    <w:rsid w:val="37200916"/>
    <w:rsid w:val="37786F81"/>
    <w:rsid w:val="38004C92"/>
    <w:rsid w:val="389649A8"/>
    <w:rsid w:val="3C306C1A"/>
    <w:rsid w:val="3CA06139"/>
    <w:rsid w:val="3D8E3A72"/>
    <w:rsid w:val="3ECA6D2C"/>
    <w:rsid w:val="3EDE49E6"/>
    <w:rsid w:val="3F06588A"/>
    <w:rsid w:val="3F173293"/>
    <w:rsid w:val="406D3E12"/>
    <w:rsid w:val="41817970"/>
    <w:rsid w:val="41A44F4B"/>
    <w:rsid w:val="42786A9F"/>
    <w:rsid w:val="42BA70B7"/>
    <w:rsid w:val="43486FF0"/>
    <w:rsid w:val="44345251"/>
    <w:rsid w:val="44C85ABB"/>
    <w:rsid w:val="45603F46"/>
    <w:rsid w:val="46456C98"/>
    <w:rsid w:val="475A2C17"/>
    <w:rsid w:val="4A58343D"/>
    <w:rsid w:val="4B6775D5"/>
    <w:rsid w:val="4CF612C3"/>
    <w:rsid w:val="4D5A4A73"/>
    <w:rsid w:val="4DD345B9"/>
    <w:rsid w:val="4E4C5872"/>
    <w:rsid w:val="4E6D76D3"/>
    <w:rsid w:val="4FE86630"/>
    <w:rsid w:val="50646D59"/>
    <w:rsid w:val="50E60BA8"/>
    <w:rsid w:val="511B07C3"/>
    <w:rsid w:val="515178CE"/>
    <w:rsid w:val="52546BE0"/>
    <w:rsid w:val="52795A61"/>
    <w:rsid w:val="52C04276"/>
    <w:rsid w:val="538E1C7E"/>
    <w:rsid w:val="53DE013B"/>
    <w:rsid w:val="55911EF9"/>
    <w:rsid w:val="55927687"/>
    <w:rsid w:val="562C55D2"/>
    <w:rsid w:val="565F7815"/>
    <w:rsid w:val="57DD107A"/>
    <w:rsid w:val="59BA0B85"/>
    <w:rsid w:val="59DE0CBD"/>
    <w:rsid w:val="5A3F7C8A"/>
    <w:rsid w:val="5A971D60"/>
    <w:rsid w:val="5ABE6548"/>
    <w:rsid w:val="5B871DD5"/>
    <w:rsid w:val="5BCE2C90"/>
    <w:rsid w:val="5C30522C"/>
    <w:rsid w:val="5CAB38A1"/>
    <w:rsid w:val="5D746389"/>
    <w:rsid w:val="5DC34C1A"/>
    <w:rsid w:val="5F15160F"/>
    <w:rsid w:val="5F4252CB"/>
    <w:rsid w:val="5F946AAE"/>
    <w:rsid w:val="5FCD7FD2"/>
    <w:rsid w:val="60107661"/>
    <w:rsid w:val="607D37A6"/>
    <w:rsid w:val="60AD0C15"/>
    <w:rsid w:val="60DD72B5"/>
    <w:rsid w:val="61BF394A"/>
    <w:rsid w:val="62C603F1"/>
    <w:rsid w:val="62F67840"/>
    <w:rsid w:val="63A1648C"/>
    <w:rsid w:val="651346D9"/>
    <w:rsid w:val="656D30D8"/>
    <w:rsid w:val="657A60AD"/>
    <w:rsid w:val="65F55820"/>
    <w:rsid w:val="666E0D67"/>
    <w:rsid w:val="67866B91"/>
    <w:rsid w:val="678F66C0"/>
    <w:rsid w:val="680E72CD"/>
    <w:rsid w:val="681F27A9"/>
    <w:rsid w:val="68AB4C28"/>
    <w:rsid w:val="68E37F41"/>
    <w:rsid w:val="692F7608"/>
    <w:rsid w:val="69920F1F"/>
    <w:rsid w:val="6BCE135A"/>
    <w:rsid w:val="6C094140"/>
    <w:rsid w:val="6C1D7BEB"/>
    <w:rsid w:val="6C7E6029"/>
    <w:rsid w:val="6DFE7D9C"/>
    <w:rsid w:val="6E072901"/>
    <w:rsid w:val="6E3F56D1"/>
    <w:rsid w:val="6E5805C6"/>
    <w:rsid w:val="6E8A571E"/>
    <w:rsid w:val="6F0B4673"/>
    <w:rsid w:val="6F7C52D9"/>
    <w:rsid w:val="6F94661F"/>
    <w:rsid w:val="700510C2"/>
    <w:rsid w:val="70187047"/>
    <w:rsid w:val="705078C9"/>
    <w:rsid w:val="70E242D8"/>
    <w:rsid w:val="71107D1F"/>
    <w:rsid w:val="715A2DA5"/>
    <w:rsid w:val="71AC3CF0"/>
    <w:rsid w:val="73025D8D"/>
    <w:rsid w:val="73ED1162"/>
    <w:rsid w:val="744D2BDD"/>
    <w:rsid w:val="74FD680C"/>
    <w:rsid w:val="75E3075A"/>
    <w:rsid w:val="76082698"/>
    <w:rsid w:val="764B0E32"/>
    <w:rsid w:val="76E301FF"/>
    <w:rsid w:val="775841CD"/>
    <w:rsid w:val="77710B57"/>
    <w:rsid w:val="77D72939"/>
    <w:rsid w:val="7813558F"/>
    <w:rsid w:val="7819508C"/>
    <w:rsid w:val="78FB0D39"/>
    <w:rsid w:val="7A2B2D92"/>
    <w:rsid w:val="7A37631C"/>
    <w:rsid w:val="7A8619BC"/>
    <w:rsid w:val="7B1859C4"/>
    <w:rsid w:val="7BCB31C0"/>
    <w:rsid w:val="7C441515"/>
    <w:rsid w:val="7CF33E80"/>
    <w:rsid w:val="7D2D373B"/>
    <w:rsid w:val="7E0273CC"/>
    <w:rsid w:val="7F85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pPr>
      <w:jc w:val="left"/>
    </w:pPr>
  </w:style>
  <w:style w:type="paragraph" w:styleId="4">
    <w:name w:val="Balloon Text"/>
    <w:basedOn w:val="1"/>
    <w:link w:val="15"/>
    <w:autoRedefine/>
    <w:qFormat/>
    <w:uiPriority w:val="0"/>
    <w:rPr>
      <w:sz w:val="18"/>
      <w:szCs w:val="18"/>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annotation subject"/>
    <w:basedOn w:val="3"/>
    <w:next w:val="3"/>
    <w:link w:val="17"/>
    <w:autoRedefine/>
    <w:qFormat/>
    <w:uiPriority w:val="0"/>
    <w:rPr>
      <w:b/>
      <w:bCs/>
    </w:rPr>
  </w:style>
  <w:style w:type="character" w:styleId="11">
    <w:name w:val="Strong"/>
    <w:basedOn w:val="10"/>
    <w:qFormat/>
    <w:uiPriority w:val="0"/>
    <w:rPr>
      <w:b/>
    </w:rPr>
  </w:style>
  <w:style w:type="character" w:styleId="12">
    <w:name w:val="Emphasis"/>
    <w:basedOn w:val="10"/>
    <w:autoRedefine/>
    <w:qFormat/>
    <w:uiPriority w:val="0"/>
    <w:rPr>
      <w:i/>
    </w:rPr>
  </w:style>
  <w:style w:type="character" w:styleId="13">
    <w:name w:val="Hyperlink"/>
    <w:basedOn w:val="10"/>
    <w:autoRedefine/>
    <w:unhideWhenUsed/>
    <w:qFormat/>
    <w:uiPriority w:val="99"/>
    <w:rPr>
      <w:color w:val="0000FF"/>
      <w:u w:val="single"/>
    </w:rPr>
  </w:style>
  <w:style w:type="character" w:styleId="14">
    <w:name w:val="annotation reference"/>
    <w:basedOn w:val="10"/>
    <w:autoRedefine/>
    <w:qFormat/>
    <w:uiPriority w:val="0"/>
    <w:rPr>
      <w:sz w:val="21"/>
      <w:szCs w:val="21"/>
    </w:rPr>
  </w:style>
  <w:style w:type="character" w:customStyle="1" w:styleId="15">
    <w:name w:val="批注框文本 字符"/>
    <w:basedOn w:val="10"/>
    <w:link w:val="4"/>
    <w:autoRedefine/>
    <w:qFormat/>
    <w:uiPriority w:val="0"/>
    <w:rPr>
      <w:kern w:val="2"/>
      <w:sz w:val="18"/>
      <w:szCs w:val="18"/>
    </w:rPr>
  </w:style>
  <w:style w:type="character" w:customStyle="1" w:styleId="16">
    <w:name w:val="批注文字 字符"/>
    <w:basedOn w:val="10"/>
    <w:link w:val="3"/>
    <w:autoRedefine/>
    <w:qFormat/>
    <w:uiPriority w:val="0"/>
    <w:rPr>
      <w:kern w:val="2"/>
      <w:sz w:val="21"/>
      <w:szCs w:val="22"/>
    </w:rPr>
  </w:style>
  <w:style w:type="character" w:customStyle="1" w:styleId="17">
    <w:name w:val="批注主题 字符"/>
    <w:basedOn w:val="16"/>
    <w:link w:val="8"/>
    <w:autoRedefine/>
    <w:qFormat/>
    <w:uiPriority w:val="0"/>
    <w:rPr>
      <w:b/>
      <w:bCs/>
      <w:kern w:val="2"/>
      <w:sz w:val="21"/>
      <w:szCs w:val="22"/>
    </w:rPr>
  </w:style>
  <w:style w:type="paragraph" w:customStyle="1" w:styleId="18">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页眉 字符"/>
    <w:basedOn w:val="10"/>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0"/>
    <w:link w:val="5"/>
    <w:autoRedefine/>
    <w:qFormat/>
    <w:uiPriority w:val="0"/>
    <w:rPr>
      <w:rFonts w:asciiTheme="minorHAnsi" w:hAnsiTheme="minorHAnsi" w:eastAsiaTheme="minorEastAsia" w:cstheme="minorBidi"/>
      <w:kern w:val="2"/>
      <w:sz w:val="18"/>
      <w:szCs w:val="18"/>
    </w:rPr>
  </w:style>
  <w:style w:type="paragraph" w:customStyle="1" w:styleId="21">
    <w:name w:val="005正文"/>
    <w:basedOn w:val="1"/>
    <w:qFormat/>
    <w:uiPriority w:val="0"/>
    <w:pPr>
      <w:spacing w:before="120" w:beforeLines="50" w:after="120" w:afterLines="50" w:line="360" w:lineRule="auto"/>
      <w:ind w:firstLine="480" w:firstLineChars="200"/>
    </w:pPr>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1339</Words>
  <Characters>1371</Characters>
  <Lines>11</Lines>
  <Paragraphs>3</Paragraphs>
  <TotalTime>3</TotalTime>
  <ScaleCrop>false</ScaleCrop>
  <LinksUpToDate>false</LinksUpToDate>
  <CharactersWithSpaces>1493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2024-03-29T09:53:00Z</dcterms:created>
  <dc:creator>季灵杰</dc:creator>
  <cp:lastModifiedBy>L</cp:lastModifiedBy>
  <dcterms:modified xsi:type="dcterms:W3CDTF">2026-05-11T09:32:55Z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08F422800C7C483BAC8ECCEA1E84D5F2_13</vt:lpwstr>
  </property>
  <property fmtid="{D5CDD505-2E9C-101B-9397-08002B2CF9AE}" pid="4" name="KSOTemplateDocerSaveRecord">
    <vt:lpwstr>eyJoZGlkIjoiYmM2OTY4ZDQ3YmYzYjAwZmYxYjIwMTY2ZTJjNzZjZmYiLCJ1c2VySWQiOiI1ODIyNDc4NzIifQ==</vt:lpwstr>
  </property>
</Properties>
</file>