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7BD3" w14:textId="77777777" w:rsidR="005F77A7" w:rsidRDefault="00000000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sz w:val="24"/>
        </w:rPr>
      </w:pPr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603052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证券简称：</w:t>
      </w:r>
      <w:proofErr w:type="gramStart"/>
      <w:r>
        <w:rPr>
          <w:rFonts w:ascii="宋体" w:hAnsi="宋体" w:hint="eastAsia"/>
          <w:b/>
          <w:bCs/>
          <w:iCs/>
          <w:sz w:val="24"/>
        </w:rPr>
        <w:t>可川科技</w:t>
      </w:r>
      <w:proofErr w:type="gramEnd"/>
    </w:p>
    <w:p w14:paraId="6A51143C" w14:textId="77777777" w:rsidR="005F77A7" w:rsidRDefault="00000000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Theme="minorEastAsia" w:eastAsiaTheme="minorEastAsia" w:hAnsiTheme="minorEastAsia" w:hint="eastAsia"/>
          <w:b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4"/>
        </w:rPr>
        <w:t>苏州可川电子科技股份有限公司</w:t>
      </w:r>
    </w:p>
    <w:p w14:paraId="43821FAF" w14:textId="77777777" w:rsidR="005F77A7" w:rsidRDefault="00000000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Theme="minorEastAsia" w:eastAsiaTheme="minorEastAsia" w:hAnsiTheme="minorEastAsia" w:hint="eastAsia"/>
          <w:b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4"/>
        </w:rPr>
        <w:t>投资者关系活动记录表</w:t>
      </w:r>
    </w:p>
    <w:p w14:paraId="720646E6" w14:textId="77777777" w:rsidR="005F77A7" w:rsidRDefault="00000000">
      <w:pPr>
        <w:spacing w:line="400" w:lineRule="exac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编号：2026-002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5F77A7" w14:paraId="05FD8D41" w14:textId="77777777">
        <w:trPr>
          <w:trHeight w:val="2649"/>
        </w:trPr>
        <w:tc>
          <w:tcPr>
            <w:tcW w:w="1931" w:type="dxa"/>
            <w:vAlign w:val="center"/>
          </w:tcPr>
          <w:p w14:paraId="75DAECF2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6AC108CE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0A7BC1A6" w14:textId="77777777" w:rsidR="005F77A7" w:rsidRDefault="005F77A7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48C0A59E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219E6D9A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5DF6032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757A414B" w14:textId="77777777" w:rsidR="005F77A7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6E27BFFF" w14:textId="77777777" w:rsidR="005F77A7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F77A7" w14:paraId="0569222F" w14:textId="77777777">
        <w:trPr>
          <w:trHeight w:val="844"/>
        </w:trPr>
        <w:tc>
          <w:tcPr>
            <w:tcW w:w="1931" w:type="dxa"/>
            <w:vAlign w:val="center"/>
          </w:tcPr>
          <w:p w14:paraId="6B20B494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60BC73EC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</w:tcPr>
          <w:p w14:paraId="38B7FCC7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国联民生证券、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霁泽投资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、富源投资、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贵源投资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、屠文斌、钱进、陈腾、徐晓明、林丹明、李祖光、戴陈曜等26位机构及个人投资者</w:t>
            </w:r>
          </w:p>
        </w:tc>
      </w:tr>
      <w:tr w:rsidR="005F77A7" w14:paraId="3AC418DB" w14:textId="77777777">
        <w:trPr>
          <w:trHeight w:val="588"/>
        </w:trPr>
        <w:tc>
          <w:tcPr>
            <w:tcW w:w="1931" w:type="dxa"/>
            <w:vAlign w:val="center"/>
          </w:tcPr>
          <w:p w14:paraId="2D5107EB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18A9879C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2026年5月9日</w:t>
            </w:r>
          </w:p>
        </w:tc>
      </w:tr>
      <w:tr w:rsidR="005F77A7" w14:paraId="139F3650" w14:textId="77777777">
        <w:trPr>
          <w:trHeight w:val="524"/>
        </w:trPr>
        <w:tc>
          <w:tcPr>
            <w:tcW w:w="1931" w:type="dxa"/>
            <w:vAlign w:val="center"/>
          </w:tcPr>
          <w:p w14:paraId="0FFA5158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110F50E6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技术（苏州）有限公司会议室</w:t>
            </w:r>
          </w:p>
        </w:tc>
      </w:tr>
      <w:tr w:rsidR="005F77A7" w14:paraId="6C5BEEE7" w14:textId="77777777">
        <w:trPr>
          <w:trHeight w:val="702"/>
        </w:trPr>
        <w:tc>
          <w:tcPr>
            <w:tcW w:w="1931" w:type="dxa"/>
            <w:vAlign w:val="center"/>
          </w:tcPr>
          <w:p w14:paraId="5DF35BB9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5C12BF0B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397EB7FC" w14:textId="11F12098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董事长、首席执行官：朱春华 </w:t>
            </w:r>
          </w:p>
          <w:p w14:paraId="4D65044E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总经理：杨凌冈 </w:t>
            </w:r>
          </w:p>
          <w:p w14:paraId="3763024C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董事会秘书、财务总监：周博</w:t>
            </w:r>
          </w:p>
        </w:tc>
      </w:tr>
      <w:tr w:rsidR="005F77A7" w14:paraId="3EA47FD5" w14:textId="77777777">
        <w:trPr>
          <w:trHeight w:val="2723"/>
        </w:trPr>
        <w:tc>
          <w:tcPr>
            <w:tcW w:w="1931" w:type="dxa"/>
            <w:vAlign w:val="center"/>
          </w:tcPr>
          <w:p w14:paraId="1DE91732" w14:textId="77777777" w:rsidR="005F77A7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122B95A2" w14:textId="77777777" w:rsidR="005F77A7" w:rsidRDefault="005F77A7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2D1831BB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问题交流：</w:t>
            </w:r>
          </w:p>
          <w:p w14:paraId="1438B086" w14:textId="77777777" w:rsidR="005F77A7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Q1：公司2025年营业收入较去年同期有所增长，但25年利润及26年一季度利润数据不太理想，想问下是什么原因？</w:t>
            </w:r>
          </w:p>
          <w:p w14:paraId="5DD8B322" w14:textId="639F0F55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A:公司</w:t>
            </w:r>
            <w:r w:rsidR="006473A9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25年及</w:t>
            </w:r>
            <w:r w:rsidR="006473A9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26年第一季度利润下降主要原因一方面受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消费电子行业逐步回暖，新能源领域出货量增加影响，公司功能性器件销售收入较上年同期有所增加，但由于行业竞争压力增加，整体毛利率较上年同期有所下降；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另一方面新业务锂电池新型复合材料项目及光模块和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硅光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芯片项目均在建设阶段，前期投入较高，影响全年利润总额。</w:t>
            </w:r>
          </w:p>
          <w:p w14:paraId="5D5D10DE" w14:textId="77777777" w:rsidR="005F77A7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Q2:此前公司单通道100G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硅光芯片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已完成首次流片，请问目前是否有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最新流片进展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？此外，市场非常关注公司在800G及1.6T</w:t>
            </w: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lastRenderedPageBreak/>
              <w:t>等更高速率产品的布局，是否是进一步推进计划？</w:t>
            </w:r>
          </w:p>
          <w:p w14:paraId="565CF59B" w14:textId="77ECF4E3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A：公司正稳步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推进硅光芯片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相关工作，PIC和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配套硅光引擎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解决方案届时会跟客户端同步验证，后续将结合客户验证计划有序推进更高速率产品的技术落地。</w:t>
            </w:r>
          </w:p>
          <w:p w14:paraId="474716CC" w14:textId="77777777" w:rsidR="005F77A7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Q3：公司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的硅光芯片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验证期一般要多久？目前送样是否有最新进展，谢谢！</w:t>
            </w:r>
          </w:p>
          <w:p w14:paraId="0D4261A3" w14:textId="587B9B2E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A：公司相关产品正按计划有序推进送样验证工作，鉴于当前尚未形成规模化营收，对公司本期业绩暂不构成重大影响。后续随着项目进入实质性阶段，公司将严格履行信息披露义务。</w:t>
            </w:r>
          </w:p>
          <w:p w14:paraId="46A84F4E" w14:textId="77777777" w:rsidR="005F77A7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Q4：公司今年在研发上的重点方向是什么？</w:t>
            </w:r>
          </w:p>
          <w:p w14:paraId="41F739CE" w14:textId="3F87A5B0" w:rsidR="005F77A7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607D72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公司持续保障核心技术研发资源，今年研发投入将保持合理增长，重点用于芯片流片、测试平台建设与核心人才布局。</w:t>
            </w:r>
          </w:p>
          <w:p w14:paraId="44715ED7" w14:textId="77777777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Q5:如何看待公司近期的股价表现？</w:t>
            </w:r>
          </w:p>
          <w:p w14:paraId="3B797C5B" w14:textId="088716B0" w:rsidR="005F77A7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A:公司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股价受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宏观经济、行业政策及市场情绪等多重因素影响。目前公司始终聚焦主营，持续加大研发投入的同时，积极拓展市场，不断夯实各项业务。公司将持续做好经营管理，并严格履行信息披露义务。</w:t>
            </w:r>
          </w:p>
        </w:tc>
      </w:tr>
      <w:tr w:rsidR="006473A9" w14:paraId="06616858" w14:textId="77777777">
        <w:trPr>
          <w:trHeight w:val="728"/>
        </w:trPr>
        <w:tc>
          <w:tcPr>
            <w:tcW w:w="1931" w:type="dxa"/>
            <w:vAlign w:val="center"/>
          </w:tcPr>
          <w:p w14:paraId="31B3D24D" w14:textId="4491A0E9" w:rsidR="006473A9" w:rsidRDefault="006473A9" w:rsidP="006473A9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6693" w:type="dxa"/>
          </w:tcPr>
          <w:p w14:paraId="21D6E011" w14:textId="77777777" w:rsidR="006473A9" w:rsidRDefault="006473A9" w:rsidP="006473A9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公司提醒新业务新产品开发过程中存在一定的技术风险、市场风险和应用验证周期风险，上述内容如涉及对行业的预测、公司发展战略规划等相关信息，不视作公司或公司管理层对行业、公司发展的承诺与保证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公司将严格按照有关法律法规的要求，认真履行信息披露义务，及时做好信息披露工作。</w:t>
            </w:r>
          </w:p>
          <w:p w14:paraId="5A97A352" w14:textId="4B5EA259" w:rsidR="006473A9" w:rsidRDefault="006473A9" w:rsidP="006473A9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敬请广大投资者理性投资，注意风险。</w:t>
            </w:r>
          </w:p>
        </w:tc>
      </w:tr>
      <w:tr w:rsidR="006473A9" w14:paraId="28D7AF8F" w14:textId="77777777">
        <w:trPr>
          <w:trHeight w:val="728"/>
        </w:trPr>
        <w:tc>
          <w:tcPr>
            <w:tcW w:w="1931" w:type="dxa"/>
            <w:vAlign w:val="center"/>
          </w:tcPr>
          <w:p w14:paraId="47C8E0E0" w14:textId="77777777" w:rsidR="006473A9" w:rsidRDefault="006473A9" w:rsidP="006473A9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0067CAB2" w14:textId="77777777" w:rsidR="006473A9" w:rsidRDefault="006473A9" w:rsidP="006473A9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14:paraId="7576D0D2" w14:textId="77777777" w:rsidR="005F77A7" w:rsidRDefault="005F77A7">
      <w:pPr>
        <w:ind w:firstLineChars="200" w:firstLine="480"/>
        <w:rPr>
          <w:sz w:val="24"/>
          <w:szCs w:val="24"/>
        </w:rPr>
      </w:pPr>
    </w:p>
    <w:sectPr w:rsidR="005F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36B90"/>
    <w:rsid w:val="000C67F3"/>
    <w:rsid w:val="000E5C8C"/>
    <w:rsid w:val="001B7D6D"/>
    <w:rsid w:val="001D4ADB"/>
    <w:rsid w:val="00402F61"/>
    <w:rsid w:val="005F77A7"/>
    <w:rsid w:val="006044C9"/>
    <w:rsid w:val="00607D72"/>
    <w:rsid w:val="006473A9"/>
    <w:rsid w:val="006B0E6C"/>
    <w:rsid w:val="008920C5"/>
    <w:rsid w:val="00943448"/>
    <w:rsid w:val="00A11FEF"/>
    <w:rsid w:val="00A97CCE"/>
    <w:rsid w:val="00AD5EC5"/>
    <w:rsid w:val="00B540CC"/>
    <w:rsid w:val="00C42A9B"/>
    <w:rsid w:val="00E60C15"/>
    <w:rsid w:val="00FF0C19"/>
    <w:rsid w:val="08D04E01"/>
    <w:rsid w:val="09907ED9"/>
    <w:rsid w:val="206E2639"/>
    <w:rsid w:val="2C7E555C"/>
    <w:rsid w:val="333F7FD5"/>
    <w:rsid w:val="476B0EF0"/>
    <w:rsid w:val="55934953"/>
    <w:rsid w:val="702B30AF"/>
    <w:rsid w:val="7A1B063D"/>
    <w:rsid w:val="7A5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6E05B"/>
  <w15:docId w15:val="{1D4438CD-9C37-4CB7-AD2A-92BA8C23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1 1</cp:lastModifiedBy>
  <cp:revision>3</cp:revision>
  <dcterms:created xsi:type="dcterms:W3CDTF">2021-03-02T08:03:00Z</dcterms:created>
  <dcterms:modified xsi:type="dcterms:W3CDTF">2026-05-11T10:57:00Z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27F39E00EC6E44A59637B6E49F211C6F</vt:lpwstr>
  </property>
</Properties>
</file>