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482A" w14:textId="31C12303" w:rsidR="00DF7296" w:rsidRPr="00C66E04" w:rsidRDefault="00DF7296" w:rsidP="00EA1CE5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C66E04">
        <w:rPr>
          <w:rFonts w:ascii="Times New Roman" w:hAnsi="Times New Roman"/>
          <w:sz w:val="24"/>
          <w:szCs w:val="24"/>
        </w:rPr>
        <w:t>证券代码：</w:t>
      </w:r>
      <w:r w:rsidRPr="00C66E04">
        <w:rPr>
          <w:rFonts w:ascii="Times New Roman" w:hAnsi="Times New Roman"/>
          <w:sz w:val="24"/>
          <w:szCs w:val="24"/>
        </w:rPr>
        <w:t xml:space="preserve">601026                                   </w:t>
      </w:r>
      <w:r w:rsidRPr="00C66E04">
        <w:rPr>
          <w:rFonts w:ascii="Times New Roman" w:hAnsi="Times New Roman"/>
          <w:sz w:val="24"/>
          <w:szCs w:val="24"/>
        </w:rPr>
        <w:t>公司简称：道生天合</w:t>
      </w:r>
    </w:p>
    <w:p w14:paraId="55134BD2" w14:textId="77777777" w:rsidR="00DF7296" w:rsidRPr="00C66E04" w:rsidRDefault="00DF7296" w:rsidP="00EA1CE5">
      <w:pPr>
        <w:spacing w:beforeLines="100" w:before="312" w:line="360" w:lineRule="auto"/>
        <w:jc w:val="center"/>
        <w:rPr>
          <w:rFonts w:ascii="Times New Roman" w:eastAsia="黑体" w:hAnsi="Times New Roman"/>
          <w:sz w:val="36"/>
          <w:szCs w:val="36"/>
        </w:rPr>
      </w:pPr>
      <w:r w:rsidRPr="00C66E04">
        <w:rPr>
          <w:rFonts w:ascii="Times New Roman" w:eastAsia="黑体" w:hAnsi="Times New Roman"/>
          <w:sz w:val="36"/>
          <w:szCs w:val="36"/>
        </w:rPr>
        <w:t>道生天</w:t>
      </w:r>
      <w:proofErr w:type="gramStart"/>
      <w:r w:rsidRPr="00C66E04">
        <w:rPr>
          <w:rFonts w:ascii="Times New Roman" w:eastAsia="黑体" w:hAnsi="Times New Roman"/>
          <w:sz w:val="36"/>
          <w:szCs w:val="36"/>
        </w:rPr>
        <w:t>合材料</w:t>
      </w:r>
      <w:proofErr w:type="gramEnd"/>
      <w:r w:rsidRPr="00C66E04">
        <w:rPr>
          <w:rFonts w:ascii="Times New Roman" w:eastAsia="黑体" w:hAnsi="Times New Roman"/>
          <w:sz w:val="36"/>
          <w:szCs w:val="36"/>
        </w:rPr>
        <w:t>科技</w:t>
      </w:r>
      <w:r w:rsidRPr="00C66E04">
        <w:rPr>
          <w:rFonts w:ascii="Times New Roman" w:eastAsia="黑体" w:hAnsi="Times New Roman"/>
          <w:sz w:val="36"/>
          <w:szCs w:val="36"/>
        </w:rPr>
        <w:t>(</w:t>
      </w:r>
      <w:r w:rsidRPr="00C66E04">
        <w:rPr>
          <w:rFonts w:ascii="Times New Roman" w:eastAsia="黑体" w:hAnsi="Times New Roman"/>
          <w:sz w:val="36"/>
          <w:szCs w:val="36"/>
        </w:rPr>
        <w:t>上海</w:t>
      </w:r>
      <w:r w:rsidRPr="00C66E04">
        <w:rPr>
          <w:rFonts w:ascii="Times New Roman" w:eastAsia="黑体" w:hAnsi="Times New Roman"/>
          <w:sz w:val="36"/>
          <w:szCs w:val="36"/>
        </w:rPr>
        <w:t>)</w:t>
      </w:r>
      <w:r w:rsidRPr="00C66E04">
        <w:rPr>
          <w:rFonts w:ascii="Times New Roman" w:eastAsia="黑体" w:hAnsi="Times New Roman"/>
          <w:sz w:val="36"/>
          <w:szCs w:val="36"/>
        </w:rPr>
        <w:t>股份有限公司</w:t>
      </w:r>
    </w:p>
    <w:p w14:paraId="11E1825D" w14:textId="6E051544" w:rsidR="00DF7296" w:rsidRPr="009A3D44" w:rsidRDefault="00DF7296" w:rsidP="00EA1CE5">
      <w:pPr>
        <w:spacing w:line="360" w:lineRule="auto"/>
        <w:jc w:val="center"/>
        <w:rPr>
          <w:rFonts w:ascii="Times New Roman" w:eastAsia="黑体" w:hAnsi="Times New Roman" w:hint="eastAsia"/>
          <w:sz w:val="36"/>
          <w:szCs w:val="36"/>
        </w:rPr>
      </w:pPr>
      <w:r w:rsidRPr="00C66E04">
        <w:rPr>
          <w:rFonts w:ascii="Times New Roman" w:eastAsia="黑体" w:hAnsi="Times New Roman"/>
          <w:sz w:val="36"/>
          <w:szCs w:val="36"/>
        </w:rPr>
        <w:t>投资者关系活动记录表</w:t>
      </w:r>
    </w:p>
    <w:p w14:paraId="1352F1A5" w14:textId="39A171A0" w:rsidR="00DF7296" w:rsidRPr="00C66E04" w:rsidRDefault="00DF7296" w:rsidP="00EA1CE5">
      <w:pPr>
        <w:spacing w:beforeLines="100" w:before="312" w:line="360" w:lineRule="auto"/>
        <w:jc w:val="right"/>
        <w:rPr>
          <w:rFonts w:ascii="Times New Roman" w:hAnsi="Times New Roman" w:hint="eastAsia"/>
          <w:sz w:val="24"/>
          <w:szCs w:val="24"/>
        </w:rPr>
      </w:pPr>
      <w:r w:rsidRPr="00C66E04">
        <w:rPr>
          <w:rFonts w:ascii="Times New Roman" w:hAnsi="Times New Roman"/>
          <w:sz w:val="24"/>
          <w:szCs w:val="24"/>
        </w:rPr>
        <w:t>编号：</w:t>
      </w:r>
      <w:r w:rsidR="009A3D44">
        <w:rPr>
          <w:rFonts w:ascii="Times New Roman" w:hAnsi="Times New Roman" w:hint="eastAsia"/>
          <w:sz w:val="24"/>
          <w:szCs w:val="24"/>
        </w:rPr>
        <w:t>2</w:t>
      </w:r>
      <w:r w:rsidR="009A3D44">
        <w:rPr>
          <w:rFonts w:ascii="Times New Roman" w:hAnsi="Times New Roman"/>
          <w:sz w:val="24"/>
          <w:szCs w:val="24"/>
        </w:rPr>
        <w:t>026-005</w:t>
      </w:r>
    </w:p>
    <w:tbl>
      <w:tblPr>
        <w:tblStyle w:val="a7"/>
        <w:tblW w:w="8717" w:type="dxa"/>
        <w:jc w:val="center"/>
        <w:tblLook w:val="04A0" w:firstRow="1" w:lastRow="0" w:firstColumn="1" w:lastColumn="0" w:noHBand="0" w:noVBand="1"/>
      </w:tblPr>
      <w:tblGrid>
        <w:gridCol w:w="1526"/>
        <w:gridCol w:w="7191"/>
      </w:tblGrid>
      <w:tr w:rsidR="008E3884" w:rsidRPr="00C66E04" w14:paraId="76F61D22" w14:textId="77777777" w:rsidTr="001F1DB4">
        <w:trPr>
          <w:trHeight w:val="397"/>
          <w:jc w:val="center"/>
        </w:trPr>
        <w:tc>
          <w:tcPr>
            <w:tcW w:w="1526" w:type="dxa"/>
            <w:vAlign w:val="center"/>
          </w:tcPr>
          <w:p w14:paraId="700D01D5" w14:textId="4DB507E2" w:rsidR="008E3884" w:rsidRPr="00C66E0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A7B7F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191" w:type="dxa"/>
            <w:vAlign w:val="center"/>
          </w:tcPr>
          <w:p w14:paraId="4FAEC60C" w14:textId="4026E294" w:rsidR="008E3884" w:rsidRPr="00F264B0" w:rsidRDefault="008E3884" w:rsidP="008E388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8E3884">
              <w:rPr>
                <w:rFonts w:ascii="宋体" w:hAnsi="宋体" w:hint="eastAsia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分析</w:t>
            </w:r>
            <w:proofErr w:type="gramStart"/>
            <w:r w:rsidRPr="00F264B0">
              <w:rPr>
                <w:rFonts w:ascii="宋体" w:hAnsi="宋体" w:hint="eastAsia"/>
                <w:sz w:val="24"/>
                <w:szCs w:val="24"/>
              </w:rPr>
              <w:t>师</w:t>
            </w:r>
            <w:r>
              <w:rPr>
                <w:rFonts w:ascii="宋体" w:hAnsi="宋体" w:hint="eastAsia"/>
                <w:sz w:val="24"/>
                <w:szCs w:val="24"/>
              </w:rPr>
              <w:t>会议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媒体采访</w:t>
            </w:r>
          </w:p>
          <w:p w14:paraId="7EF08B5A" w14:textId="6B925A3B" w:rsidR="008E3884" w:rsidRDefault="008E3884" w:rsidP="008E388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E38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█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3E0C3FBD" w14:textId="6D1F0975" w:rsidR="008E3884" w:rsidRPr="00C66E0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264B0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其他</w:t>
            </w:r>
            <w:r w:rsidRPr="00F264B0">
              <w:rPr>
                <w:rFonts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8E3884" w:rsidRPr="00C66E04" w14:paraId="03D88E02" w14:textId="77777777" w:rsidTr="001F1DB4">
        <w:trPr>
          <w:trHeight w:val="397"/>
          <w:jc w:val="center"/>
        </w:trPr>
        <w:tc>
          <w:tcPr>
            <w:tcW w:w="1526" w:type="dxa"/>
            <w:vAlign w:val="center"/>
          </w:tcPr>
          <w:p w14:paraId="5AC89BA2" w14:textId="77777777" w:rsidR="008E3884" w:rsidRPr="008E3884" w:rsidRDefault="008E3884" w:rsidP="008E388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884">
              <w:rPr>
                <w:rFonts w:ascii="Times New Roman" w:hAnsi="Times New Roman"/>
                <w:b/>
                <w:bCs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5D078079" w14:textId="77777777" w:rsidR="008E3884" w:rsidRPr="00C66E0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道生天合</w:t>
            </w:r>
            <w:r w:rsidRPr="00C66E0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2025</w:t>
            </w:r>
            <w:r w:rsidRPr="00C66E0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年年度暨</w:t>
            </w:r>
            <w:r w:rsidRPr="00C66E0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2026</w:t>
            </w:r>
            <w:r w:rsidRPr="00C66E0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GB"/>
              </w:rPr>
              <w:t>年第一季度业绩说明会</w:t>
            </w:r>
          </w:p>
        </w:tc>
      </w:tr>
      <w:tr w:rsidR="008E3884" w:rsidRPr="00C66E04" w14:paraId="44B327DB" w14:textId="77777777" w:rsidTr="001F1DB4">
        <w:trPr>
          <w:trHeight w:val="397"/>
          <w:jc w:val="center"/>
        </w:trPr>
        <w:tc>
          <w:tcPr>
            <w:tcW w:w="1526" w:type="dxa"/>
            <w:vAlign w:val="center"/>
          </w:tcPr>
          <w:p w14:paraId="25CC935B" w14:textId="77777777" w:rsidR="008E3884" w:rsidRPr="008E3884" w:rsidRDefault="008E3884" w:rsidP="008E388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884">
              <w:rPr>
                <w:rFonts w:ascii="Times New Roman" w:hAnsi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343DDF7A" w14:textId="41C615CD" w:rsidR="008E3884" w:rsidRPr="00C66E0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C66E0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日（周一）</w:t>
            </w:r>
            <w:r w:rsidRPr="00C66E0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13:00-14:00</w:t>
            </w:r>
          </w:p>
        </w:tc>
      </w:tr>
      <w:tr w:rsidR="008E3884" w:rsidRPr="00C66E04" w14:paraId="4AC76D74" w14:textId="77777777" w:rsidTr="001F1DB4">
        <w:trPr>
          <w:trHeight w:val="397"/>
          <w:jc w:val="center"/>
        </w:trPr>
        <w:tc>
          <w:tcPr>
            <w:tcW w:w="1526" w:type="dxa"/>
            <w:vAlign w:val="center"/>
          </w:tcPr>
          <w:p w14:paraId="280CE2EA" w14:textId="77777777" w:rsidR="008E3884" w:rsidRPr="008E3884" w:rsidRDefault="008E3884" w:rsidP="008E388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884">
              <w:rPr>
                <w:rFonts w:ascii="Times New Roman" w:hAnsi="Times New Roman"/>
                <w:b/>
                <w:bCs/>
                <w:sz w:val="24"/>
                <w:szCs w:val="24"/>
              </w:rPr>
              <w:t>地点</w:t>
            </w:r>
            <w:r w:rsidRPr="008E388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8E3884">
              <w:rPr>
                <w:rFonts w:ascii="Times New Roman" w:hAnsi="Times New Roman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1169E322" w14:textId="77777777" w:rsidR="008E3884" w:rsidRPr="00C66E04" w:rsidRDefault="008E3884" w:rsidP="008E388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E04">
              <w:rPr>
                <w:rFonts w:ascii="Times New Roman" w:hAnsi="Times New Roman"/>
                <w:bCs/>
                <w:sz w:val="24"/>
                <w:szCs w:val="24"/>
              </w:rPr>
              <w:t>上</w:t>
            </w:r>
            <w:proofErr w:type="gramStart"/>
            <w:r w:rsidRPr="00C66E04">
              <w:rPr>
                <w:rFonts w:ascii="Times New Roman" w:hAnsi="Times New Roman"/>
                <w:bCs/>
                <w:sz w:val="24"/>
                <w:szCs w:val="24"/>
              </w:rPr>
              <w:t>证路演中心</w:t>
            </w:r>
            <w:proofErr w:type="gramEnd"/>
            <w:r w:rsidRPr="00C66E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Pr="00C66E0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https://roadshow.sseinfo.com</w:t>
              </w:r>
            </w:hyperlink>
          </w:p>
          <w:p w14:paraId="263B44B4" w14:textId="77777777" w:rsidR="008E3884" w:rsidRPr="00C66E0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bCs/>
                <w:sz w:val="24"/>
                <w:szCs w:val="24"/>
              </w:rPr>
              <w:t>视频录播</w:t>
            </w:r>
            <w:r w:rsidRPr="00C66E0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Pr="00C66E04">
              <w:rPr>
                <w:rFonts w:ascii="Times New Roman" w:hAnsi="Times New Roman"/>
                <w:bCs/>
                <w:sz w:val="24"/>
                <w:szCs w:val="24"/>
              </w:rPr>
              <w:t>网络文字互动</w:t>
            </w:r>
          </w:p>
        </w:tc>
      </w:tr>
      <w:tr w:rsidR="008E3884" w:rsidRPr="00C66E04" w14:paraId="78CE31FF" w14:textId="77777777" w:rsidTr="001F1DB4">
        <w:trPr>
          <w:trHeight w:val="397"/>
          <w:jc w:val="center"/>
        </w:trPr>
        <w:tc>
          <w:tcPr>
            <w:tcW w:w="1526" w:type="dxa"/>
            <w:vAlign w:val="center"/>
          </w:tcPr>
          <w:p w14:paraId="5FBEE098" w14:textId="77777777" w:rsidR="008E3884" w:rsidRPr="008E3884" w:rsidRDefault="008E3884" w:rsidP="008E388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884">
              <w:rPr>
                <w:rFonts w:ascii="Times New Roman" w:hAnsi="Times New Roman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007CD52B" w14:textId="77777777" w:rsidR="008E388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董事长、总经理：季刚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先生；</w:t>
            </w:r>
          </w:p>
          <w:p w14:paraId="48F62A2B" w14:textId="77777777" w:rsidR="008E388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副董事长、副总经理：姜磊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先生；</w:t>
            </w:r>
          </w:p>
          <w:p w14:paraId="63C716A2" w14:textId="77777777" w:rsidR="008E388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独立董事：杜烈康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先生；</w:t>
            </w:r>
          </w:p>
          <w:p w14:paraId="5490EC8B" w14:textId="77777777" w:rsidR="008E388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财务负责人、副总经理：施永泉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先生；</w:t>
            </w:r>
          </w:p>
          <w:p w14:paraId="38BAFED0" w14:textId="4DFAD115" w:rsidR="008E3884" w:rsidRPr="00C66E04" w:rsidRDefault="008E3884" w:rsidP="008E38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董事会秘书、副总经理：张</w:t>
            </w:r>
            <w:proofErr w:type="gramStart"/>
            <w:r w:rsidRPr="00C66E04">
              <w:rPr>
                <w:rFonts w:ascii="Times New Roman" w:hAnsi="Times New Roman"/>
                <w:sz w:val="24"/>
                <w:szCs w:val="24"/>
              </w:rPr>
              <w:t>珈堃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先生</w:t>
            </w:r>
          </w:p>
        </w:tc>
      </w:tr>
      <w:tr w:rsidR="008E3884" w:rsidRPr="00C66E04" w14:paraId="18C50873" w14:textId="77777777" w:rsidTr="001F1DB4">
        <w:trPr>
          <w:trHeight w:val="397"/>
          <w:jc w:val="center"/>
        </w:trPr>
        <w:tc>
          <w:tcPr>
            <w:tcW w:w="1526" w:type="dxa"/>
            <w:vAlign w:val="center"/>
          </w:tcPr>
          <w:p w14:paraId="19610BEF" w14:textId="77777777" w:rsidR="008E3884" w:rsidRPr="008E3884" w:rsidRDefault="008E3884" w:rsidP="008E388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884">
              <w:rPr>
                <w:rFonts w:ascii="Times New Roman" w:hAnsi="Times New Roman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vAlign w:val="center"/>
          </w:tcPr>
          <w:p w14:paraId="15E9C8D3" w14:textId="38AFDFE4" w:rsidR="001E1B97" w:rsidRDefault="001E1B97" w:rsidP="008E388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B9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线上投资者提出的问题及公司回复情况：</w:t>
            </w:r>
          </w:p>
          <w:p w14:paraId="78F6D7BE" w14:textId="2FB034E4" w:rsidR="008E3884" w:rsidRPr="00EA1CE5" w:rsidRDefault="008E3884" w:rsidP="009C7578">
            <w:pPr>
              <w:spacing w:beforeLines="50" w:before="156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、请问公司在产品结构优化与成本管</w:t>
            </w:r>
            <w:proofErr w:type="gramStart"/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控方面</w:t>
            </w:r>
            <w:proofErr w:type="gramEnd"/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的核心经验与后续持续落地计划是什么？</w:t>
            </w:r>
          </w:p>
          <w:p w14:paraId="30BF8697" w14:textId="41252E7A" w:rsidR="008E3884" w:rsidRPr="00C66E04" w:rsidRDefault="008E3884" w:rsidP="008E3884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尊敬的投资者您好！公司在产品结构优化与成本管</w:t>
            </w:r>
            <w:proofErr w:type="gramStart"/>
            <w:r w:rsidRPr="00C66E04">
              <w:rPr>
                <w:rFonts w:ascii="Times New Roman" w:hAnsi="Times New Roman"/>
                <w:sz w:val="24"/>
                <w:szCs w:val="24"/>
              </w:rPr>
              <w:t>控方面</w:t>
            </w:r>
            <w:proofErr w:type="gramEnd"/>
            <w:r w:rsidRPr="00C66E04">
              <w:rPr>
                <w:rFonts w:ascii="Times New Roman" w:hAnsi="Times New Roman"/>
                <w:sz w:val="24"/>
                <w:szCs w:val="24"/>
              </w:rPr>
              <w:t>的核心经验，主要得益于坚持以研发为驱动，持续向市场推出高附加值的定制化新材料产品，同时在制造与供应</w:t>
            </w:r>
            <w:proofErr w:type="gramStart"/>
            <w:r w:rsidRPr="00C66E04">
              <w:rPr>
                <w:rFonts w:ascii="Times New Roman" w:hAnsi="Times New Roman"/>
                <w:sz w:val="24"/>
                <w:szCs w:val="24"/>
              </w:rPr>
              <w:t>链端全面</w:t>
            </w:r>
            <w:proofErr w:type="gramEnd"/>
            <w:r w:rsidRPr="00C66E04">
              <w:rPr>
                <w:rFonts w:ascii="Times New Roman" w:hAnsi="Times New Roman"/>
                <w:sz w:val="24"/>
                <w:szCs w:val="24"/>
              </w:rPr>
              <w:t>推行精益管理和集采优化以发挥规模降本效应。未来，公司的持续落地计划将聚焦于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“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一升一降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”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：一方面持续攻坚海外业务、新能源汽车、电力绝缘等高端应用领域；另一方面，深化产业链上游协同，并将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“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降本增效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”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纳入内部考核激励机制，确保公司盈利能力与核心竞争力的稳步提升。感谢您的关注！</w:t>
            </w:r>
          </w:p>
          <w:p w14:paraId="3E9B1E5B" w14:textId="22AE8B94" w:rsidR="008E3884" w:rsidRPr="00EA1CE5" w:rsidRDefault="008E3884" w:rsidP="008E388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、请问</w:t>
            </w:r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年在海外重点区域布局、客户开发与本地化供应链建设上的规划？</w:t>
            </w:r>
          </w:p>
          <w:p w14:paraId="5FE8582E" w14:textId="5F0BD0FB" w:rsidR="008E3884" w:rsidRPr="00C66E04" w:rsidRDefault="008E3884" w:rsidP="008E3884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尊敬的投资者您好！为积极响应海外风电装机强劲复苏及客户对供应</w:t>
            </w:r>
            <w:proofErr w:type="gramStart"/>
            <w:r w:rsidRPr="00C66E04">
              <w:rPr>
                <w:rFonts w:ascii="Times New Roman" w:hAnsi="Times New Roman"/>
                <w:sz w:val="24"/>
                <w:szCs w:val="24"/>
              </w:rPr>
              <w:t>链安全</w:t>
            </w:r>
            <w:proofErr w:type="gramEnd"/>
            <w:r w:rsidRPr="00C66E04">
              <w:rPr>
                <w:rFonts w:ascii="Times New Roman" w:hAnsi="Times New Roman"/>
                <w:sz w:val="24"/>
                <w:szCs w:val="24"/>
              </w:rPr>
              <w:t>的诉求，公司正全面提速全球化布局。在前端业务与资金协同方面，我们已在德国设立子公司深入欧洲核心客户的研发与交付前线，于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年设立了新加坡资金管理平台。在本地化供应链建设上，公司重点发力摩洛哥新材料生产基地（预计总投资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3000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万美元），公司一期规划了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5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万吨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/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年的风电用环氧树脂及结构胶产能，目前正处于方案设计落地阶段，预计将于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2027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年初达到试生产验证。该基地致力于成为辐射欧、非、美及中东的制造枢纽，不仅能充分享受当地前五年免征公司税及土地劳动力等成本优势，更能以原产地身份有效规避反倾销等贸易壁垒风险，大幅缩短交付距离，深度满足国际大客户本地化制造与</w:t>
            </w:r>
            <w:proofErr w:type="gramStart"/>
            <w:r w:rsidRPr="00C66E04">
              <w:rPr>
                <w:rFonts w:ascii="Times New Roman" w:hAnsi="Times New Roman"/>
                <w:sz w:val="24"/>
                <w:szCs w:val="24"/>
              </w:rPr>
              <w:t>敏捷响应</w:t>
            </w:r>
            <w:proofErr w:type="gramEnd"/>
            <w:r w:rsidRPr="00C66E04">
              <w:rPr>
                <w:rFonts w:ascii="Times New Roman" w:hAnsi="Times New Roman"/>
                <w:sz w:val="24"/>
                <w:szCs w:val="24"/>
              </w:rPr>
              <w:t>的需求，全面增强公司的全球竞争力。感谢您的关注！</w:t>
            </w:r>
          </w:p>
          <w:p w14:paraId="6F8BD5B8" w14:textId="2DCE7071" w:rsidR="008E3884" w:rsidRPr="00C66E04" w:rsidRDefault="008E3884" w:rsidP="009C7578">
            <w:pPr>
              <w:spacing w:beforeLines="50" w:before="156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3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、</w:t>
            </w:r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请问公司中长期分红政策与现金</w:t>
            </w:r>
            <w:proofErr w:type="gramStart"/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流平衡</w:t>
            </w:r>
            <w:proofErr w:type="gramEnd"/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的</w:t>
            </w:r>
            <w:proofErr w:type="gramStart"/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考量</w:t>
            </w:r>
            <w:proofErr w:type="gramEnd"/>
            <w:r w:rsidRPr="00EA1CE5">
              <w:rPr>
                <w:rFonts w:ascii="Times New Roman" w:hAnsi="Times New Roman"/>
                <w:b/>
                <w:bCs/>
                <w:sz w:val="24"/>
                <w:szCs w:val="24"/>
              </w:rPr>
              <w:t>是什么？</w:t>
            </w:r>
          </w:p>
          <w:p w14:paraId="6292DB18" w14:textId="63BC5E5D" w:rsidR="008E3884" w:rsidRPr="00C66E04" w:rsidRDefault="008E3884" w:rsidP="008E3884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C66E04">
              <w:rPr>
                <w:rFonts w:ascii="Times New Roman" w:hAnsi="Times New Roman"/>
                <w:sz w:val="24"/>
                <w:szCs w:val="24"/>
              </w:rPr>
              <w:t>尊敬的投资者您好！公司在中长期分红政策与现金</w:t>
            </w:r>
            <w:proofErr w:type="gramStart"/>
            <w:r w:rsidRPr="00C66E04">
              <w:rPr>
                <w:rFonts w:ascii="Times New Roman" w:hAnsi="Times New Roman"/>
                <w:sz w:val="24"/>
                <w:szCs w:val="24"/>
              </w:rPr>
              <w:t>流平衡</w:t>
            </w:r>
            <w:proofErr w:type="gramEnd"/>
            <w:r w:rsidRPr="00C66E04">
              <w:rPr>
                <w:rFonts w:ascii="Times New Roman" w:hAnsi="Times New Roman"/>
                <w:sz w:val="24"/>
                <w:szCs w:val="24"/>
              </w:rPr>
              <w:t>的</w:t>
            </w:r>
            <w:proofErr w:type="gramStart"/>
            <w:r w:rsidRPr="00C66E04">
              <w:rPr>
                <w:rFonts w:ascii="Times New Roman" w:hAnsi="Times New Roman"/>
                <w:sz w:val="24"/>
                <w:szCs w:val="24"/>
              </w:rPr>
              <w:t>考量</w:t>
            </w:r>
            <w:proofErr w:type="gramEnd"/>
            <w:r w:rsidRPr="00C66E04">
              <w:rPr>
                <w:rFonts w:ascii="Times New Roman" w:hAnsi="Times New Roman"/>
                <w:sz w:val="24"/>
                <w:szCs w:val="24"/>
              </w:rPr>
              <w:t>上，始终坚持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“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稳健发展与股东回报并重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”</w:t>
            </w:r>
            <w:r w:rsidRPr="00C66E04">
              <w:rPr>
                <w:rFonts w:ascii="Times New Roman" w:hAnsi="Times New Roman"/>
                <w:sz w:val="24"/>
                <w:szCs w:val="24"/>
              </w:rPr>
              <w:t>的原则：一方面，我们会审慎结合公司所处的战略发展阶段、未来的重大资本开支计划以及日常运营的资金安全边界，预留充足的营运资金以筑牢抗风险底线，并持续赋能研发创新与核心业务的拓展；另一方面，在保障主营业务健康循环、现金流充裕的前提下，公司将致力于构建常态化、稳定且可持续的利润分配机制，以真金白银切实回馈广大投资者，力求在保障公司中长期高质量扩张的同时，实现股东价值最大化的最优动态平衡，感谢您的关注！</w:t>
            </w:r>
          </w:p>
          <w:p w14:paraId="36EC0D3F" w14:textId="77777777" w:rsidR="008E3884" w:rsidRPr="00C66E04" w:rsidRDefault="008E3884" w:rsidP="008E3884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884" w:rsidRPr="00C66E04" w14:paraId="0FB47C2D" w14:textId="77777777" w:rsidTr="001F1DB4">
        <w:trPr>
          <w:trHeight w:val="397"/>
          <w:jc w:val="center"/>
        </w:trPr>
        <w:tc>
          <w:tcPr>
            <w:tcW w:w="1526" w:type="dxa"/>
            <w:vAlign w:val="center"/>
          </w:tcPr>
          <w:p w14:paraId="6E8D506A" w14:textId="2F280BCD" w:rsidR="008E3884" w:rsidRPr="00BF5F6E" w:rsidRDefault="008E3884" w:rsidP="008E388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5F6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91" w:type="dxa"/>
            <w:vAlign w:val="center"/>
          </w:tcPr>
          <w:p w14:paraId="3E52F602" w14:textId="541D7D13" w:rsidR="008E3884" w:rsidRPr="00BF5F6E" w:rsidRDefault="008E3884" w:rsidP="008E3884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r w:rsidRPr="00BF5F6E">
              <w:rPr>
                <w:rFonts w:ascii="Times New Roman" w:hAnsi="Times New Roman" w:hint="eastAsia"/>
                <w:sz w:val="24"/>
                <w:szCs w:val="24"/>
              </w:rPr>
              <w:t>无</w:t>
            </w:r>
          </w:p>
        </w:tc>
      </w:tr>
    </w:tbl>
    <w:p w14:paraId="59E1E018" w14:textId="77777777" w:rsidR="00DF7296" w:rsidRPr="00C66E04" w:rsidRDefault="00DF7296" w:rsidP="00EA1C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5EDB06" w14:textId="77777777" w:rsidR="00DF7296" w:rsidRPr="00C66E04" w:rsidRDefault="00DF7296" w:rsidP="00EA1C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A0D21B1" w14:textId="77777777" w:rsidR="0074154D" w:rsidRPr="00C66E04" w:rsidRDefault="0074154D" w:rsidP="00EA1CE5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74154D" w:rsidRPr="00C66E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B46E" w14:textId="77777777" w:rsidR="008C1997" w:rsidRDefault="008C1997" w:rsidP="00DF7296">
      <w:r>
        <w:separator/>
      </w:r>
    </w:p>
  </w:endnote>
  <w:endnote w:type="continuationSeparator" w:id="0">
    <w:p w14:paraId="0C4C82EA" w14:textId="77777777" w:rsidR="008C1997" w:rsidRDefault="008C1997" w:rsidP="00DF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6FE0" w14:textId="77777777" w:rsidR="008C1997" w:rsidRDefault="008C1997" w:rsidP="00DF7296">
      <w:r>
        <w:separator/>
      </w:r>
    </w:p>
  </w:footnote>
  <w:footnote w:type="continuationSeparator" w:id="0">
    <w:p w14:paraId="056B253B" w14:textId="77777777" w:rsidR="008C1997" w:rsidRDefault="008C1997" w:rsidP="00DF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14"/>
    <w:rsid w:val="00051F37"/>
    <w:rsid w:val="000621A5"/>
    <w:rsid w:val="00064D5B"/>
    <w:rsid w:val="00067BD0"/>
    <w:rsid w:val="000936B7"/>
    <w:rsid w:val="000C28DE"/>
    <w:rsid w:val="000D179B"/>
    <w:rsid w:val="001122CA"/>
    <w:rsid w:val="001408C6"/>
    <w:rsid w:val="00150734"/>
    <w:rsid w:val="00153B53"/>
    <w:rsid w:val="00156857"/>
    <w:rsid w:val="001576FD"/>
    <w:rsid w:val="001C09B2"/>
    <w:rsid w:val="001D095A"/>
    <w:rsid w:val="001D7574"/>
    <w:rsid w:val="001E1B97"/>
    <w:rsid w:val="001E5F2A"/>
    <w:rsid w:val="001E6D4B"/>
    <w:rsid w:val="001F1DB4"/>
    <w:rsid w:val="001F3901"/>
    <w:rsid w:val="0020139E"/>
    <w:rsid w:val="00230A05"/>
    <w:rsid w:val="00232DB6"/>
    <w:rsid w:val="00246E1B"/>
    <w:rsid w:val="00252676"/>
    <w:rsid w:val="002B2D2C"/>
    <w:rsid w:val="002C2BCE"/>
    <w:rsid w:val="002C7263"/>
    <w:rsid w:val="002C7694"/>
    <w:rsid w:val="00322003"/>
    <w:rsid w:val="0032433F"/>
    <w:rsid w:val="00335530"/>
    <w:rsid w:val="003466CA"/>
    <w:rsid w:val="00374015"/>
    <w:rsid w:val="0038230E"/>
    <w:rsid w:val="003A2903"/>
    <w:rsid w:val="003B5922"/>
    <w:rsid w:val="003E7472"/>
    <w:rsid w:val="004252E4"/>
    <w:rsid w:val="004433E9"/>
    <w:rsid w:val="0049067E"/>
    <w:rsid w:val="004A0FAA"/>
    <w:rsid w:val="004A542A"/>
    <w:rsid w:val="004A6526"/>
    <w:rsid w:val="004F2717"/>
    <w:rsid w:val="00544338"/>
    <w:rsid w:val="00547378"/>
    <w:rsid w:val="005570FB"/>
    <w:rsid w:val="0056176E"/>
    <w:rsid w:val="005851F2"/>
    <w:rsid w:val="00585C77"/>
    <w:rsid w:val="005B0616"/>
    <w:rsid w:val="005B06B1"/>
    <w:rsid w:val="005B63F7"/>
    <w:rsid w:val="005C4A22"/>
    <w:rsid w:val="005F2122"/>
    <w:rsid w:val="005F7097"/>
    <w:rsid w:val="00602F58"/>
    <w:rsid w:val="00622340"/>
    <w:rsid w:val="00622B50"/>
    <w:rsid w:val="006B57A1"/>
    <w:rsid w:val="006C3620"/>
    <w:rsid w:val="006F35F1"/>
    <w:rsid w:val="00711013"/>
    <w:rsid w:val="00725226"/>
    <w:rsid w:val="0074154D"/>
    <w:rsid w:val="00774989"/>
    <w:rsid w:val="00775D2A"/>
    <w:rsid w:val="007A43B2"/>
    <w:rsid w:val="007B7CA0"/>
    <w:rsid w:val="007D1093"/>
    <w:rsid w:val="007E7818"/>
    <w:rsid w:val="008077F9"/>
    <w:rsid w:val="0082143C"/>
    <w:rsid w:val="00876275"/>
    <w:rsid w:val="008820AF"/>
    <w:rsid w:val="008A77F7"/>
    <w:rsid w:val="008C1997"/>
    <w:rsid w:val="008D71A3"/>
    <w:rsid w:val="008E3884"/>
    <w:rsid w:val="008F2977"/>
    <w:rsid w:val="00906DF0"/>
    <w:rsid w:val="00907C16"/>
    <w:rsid w:val="009156AB"/>
    <w:rsid w:val="00922878"/>
    <w:rsid w:val="00931960"/>
    <w:rsid w:val="00961BE1"/>
    <w:rsid w:val="0098487D"/>
    <w:rsid w:val="009A3D44"/>
    <w:rsid w:val="009C7578"/>
    <w:rsid w:val="009C7580"/>
    <w:rsid w:val="009D0AB5"/>
    <w:rsid w:val="00A279BA"/>
    <w:rsid w:val="00A75180"/>
    <w:rsid w:val="00A75E8F"/>
    <w:rsid w:val="00AA29BB"/>
    <w:rsid w:val="00AB13CF"/>
    <w:rsid w:val="00AB2AC3"/>
    <w:rsid w:val="00AD2BBF"/>
    <w:rsid w:val="00B176E6"/>
    <w:rsid w:val="00B40503"/>
    <w:rsid w:val="00BB4F9A"/>
    <w:rsid w:val="00BC08FD"/>
    <w:rsid w:val="00BC264E"/>
    <w:rsid w:val="00BC488B"/>
    <w:rsid w:val="00BF5F6E"/>
    <w:rsid w:val="00C10FF0"/>
    <w:rsid w:val="00C331C4"/>
    <w:rsid w:val="00C5059E"/>
    <w:rsid w:val="00C621E6"/>
    <w:rsid w:val="00C66E04"/>
    <w:rsid w:val="00C94FBB"/>
    <w:rsid w:val="00C97A8E"/>
    <w:rsid w:val="00CA7756"/>
    <w:rsid w:val="00CD3E2B"/>
    <w:rsid w:val="00CE173D"/>
    <w:rsid w:val="00CF607A"/>
    <w:rsid w:val="00D168A3"/>
    <w:rsid w:val="00D26614"/>
    <w:rsid w:val="00D32306"/>
    <w:rsid w:val="00D36051"/>
    <w:rsid w:val="00D42E4C"/>
    <w:rsid w:val="00D77033"/>
    <w:rsid w:val="00DE108D"/>
    <w:rsid w:val="00DF7296"/>
    <w:rsid w:val="00E0270D"/>
    <w:rsid w:val="00E37AFF"/>
    <w:rsid w:val="00E44ACF"/>
    <w:rsid w:val="00E54AA9"/>
    <w:rsid w:val="00E827FB"/>
    <w:rsid w:val="00E91DCA"/>
    <w:rsid w:val="00E928EA"/>
    <w:rsid w:val="00EA1CE5"/>
    <w:rsid w:val="00EA2CBF"/>
    <w:rsid w:val="00EA6F9F"/>
    <w:rsid w:val="00EC7131"/>
    <w:rsid w:val="00ED2D16"/>
    <w:rsid w:val="00EE592E"/>
    <w:rsid w:val="00EF4B21"/>
    <w:rsid w:val="00F04AC6"/>
    <w:rsid w:val="00F37DF8"/>
    <w:rsid w:val="00F53024"/>
    <w:rsid w:val="00F91729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6B8EB"/>
  <w15:chartTrackingRefBased/>
  <w15:docId w15:val="{A8768FF6-6375-4826-BECC-9B5A325F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2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F7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2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2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296"/>
    <w:rPr>
      <w:sz w:val="18"/>
      <w:szCs w:val="18"/>
    </w:rPr>
  </w:style>
  <w:style w:type="table" w:styleId="a7">
    <w:name w:val="Table Grid"/>
    <w:basedOn w:val="a1"/>
    <w:uiPriority w:val="59"/>
    <w:qFormat/>
    <w:rsid w:val="00DF729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qFormat/>
    <w:rsid w:val="00DF7296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DF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Wan</dc:creator>
  <cp:keywords/>
  <dc:description/>
  <cp:lastModifiedBy>Grace Wan</cp:lastModifiedBy>
  <cp:revision>18</cp:revision>
  <dcterms:created xsi:type="dcterms:W3CDTF">2026-05-11T06:04:00Z</dcterms:created>
  <dcterms:modified xsi:type="dcterms:W3CDTF">2026-05-11T06:33:00Z</dcterms:modified>
</cp:coreProperties>
</file>