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宋体" w:hAnsi="宋体" w:eastAsia="宋体" w:cs="宋体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/>
        </w:rPr>
        <w:t>证券代码：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603033</w:t>
      </w:r>
      <w:r>
        <w:rPr>
          <w:rFonts w:hint="eastAsia" w:ascii="宋体" w:hAnsi="宋体" w:eastAsia="宋体" w:cs="宋体"/>
          <w:sz w:val="20"/>
          <w:szCs w:val="20"/>
          <w:lang w:val="en-US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/>
        </w:rPr>
        <w:t xml:space="preserve">               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0"/>
          <w:szCs w:val="20"/>
          <w:lang w:val="en-US"/>
        </w:rPr>
        <w:t>证券简称：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三维股份</w:t>
      </w:r>
    </w:p>
    <w:p>
      <w:pP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三维控股集团股份有限公司</w:t>
      </w:r>
    </w:p>
    <w:p>
      <w:pPr>
        <w:spacing w:line="360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投资者关系活动记录表</w:t>
      </w:r>
    </w:p>
    <w:tbl>
      <w:tblPr>
        <w:tblStyle w:val="11"/>
        <w:tblW w:w="88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0" w:type="dxa"/>
        </w:tblCellMar>
      </w:tblPr>
      <w:tblGrid>
        <w:gridCol w:w="2580"/>
        <w:gridCol w:w="63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2801" w:hRule="atLeast"/>
          <w:jc w:val="center"/>
        </w:trPr>
        <w:tc>
          <w:tcPr>
            <w:tcW w:w="2580" w:type="dxa"/>
          </w:tcPr>
          <w:p>
            <w:pPr>
              <w:pStyle w:val="12"/>
              <w:spacing w:before="7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  <w:p>
            <w:pPr>
              <w:pStyle w:val="12"/>
              <w:spacing w:before="1"/>
              <w:ind w:left="107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6308" w:type="dxa"/>
          </w:tcPr>
          <w:p>
            <w:pPr>
              <w:pStyle w:val="12"/>
              <w:spacing w:before="7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2"/>
              <w:tabs>
                <w:tab w:val="left" w:pos="2418"/>
              </w:tabs>
              <w:spacing w:before="1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24978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特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对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象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调研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分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析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师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议</w:t>
            </w:r>
          </w:p>
          <w:p>
            <w:pPr>
              <w:pStyle w:val="12"/>
              <w:spacing w:before="11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2"/>
              <w:tabs>
                <w:tab w:val="left" w:pos="2418"/>
              </w:tabs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媒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体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采访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-6665890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Wingdings 2" w:hAnsi="Wingdings 2" w:eastAsia="MS Gothic" w:cs="宋体"/>
                    <w:sz w:val="20"/>
                    <w:szCs w:val="20"/>
                    <w:lang w:val="zh-CN" w:eastAsia="zh-CN" w:bidi="zh-CN"/>
                  </w:rPr>
                  <w:t>R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业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绩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说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明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会</w:t>
            </w:r>
          </w:p>
          <w:p>
            <w:pPr>
              <w:pStyle w:val="12"/>
              <w:spacing w:before="8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2"/>
              <w:tabs>
                <w:tab w:val="left" w:pos="2418"/>
              </w:tabs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新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闻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发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布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路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演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活动</w:t>
            </w:r>
          </w:p>
          <w:p>
            <w:pPr>
              <w:pStyle w:val="12"/>
              <w:spacing w:before="8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2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现场参观</w:t>
            </w:r>
          </w:p>
          <w:p>
            <w:pPr>
              <w:pStyle w:val="12"/>
              <w:spacing w:before="11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12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sdt>
              <w:sdtPr>
                <w:rPr>
                  <w:rFonts w:hint="eastAsia" w:ascii="宋体" w:hAnsi="宋体" w:eastAsia="宋体" w:cs="宋体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sz w:val="20"/>
                  <w:szCs w:val="20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sz w:val="20"/>
                <w:szCs w:val="20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2580" w:type="dxa"/>
            <w:vAlign w:val="center"/>
          </w:tcPr>
          <w:p>
            <w:pPr>
              <w:pStyle w:val="12"/>
              <w:spacing w:line="560" w:lineRule="exact"/>
              <w:ind w:left="107" w:right="96"/>
              <w:rPr>
                <w:rFonts w:cs="宋体" w:asciiTheme="minorEastAsia" w:hAnsiTheme="minorEastAsia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  <w:t>参与单位名称及人员姓名</w:t>
            </w:r>
          </w:p>
        </w:tc>
        <w:tc>
          <w:tcPr>
            <w:tcW w:w="630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default" w:cs="宋体" w:asciiTheme="minorEastAsia" w:hAnsiTheme="minorEastAsia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0"/>
                <w:szCs w:val="20"/>
                <w:lang w:val="en-US" w:eastAsia="zh-CN"/>
              </w:rPr>
              <w:t>线上参与三维股份（603033）2025年度暨2026年第一季度业绩说明会的全体投资者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0" w:type="dxa"/>
            <w:vAlign w:val="center"/>
          </w:tcPr>
          <w:p>
            <w:pPr>
              <w:pStyle w:val="12"/>
              <w:ind w:left="107"/>
              <w:rPr>
                <w:rFonts w:cs="宋体" w:asciiTheme="minorEastAsia" w:hAnsiTheme="minorEastAsia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63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2026年05月12日 15:00-16:00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580" w:type="dxa"/>
            <w:vAlign w:val="center"/>
          </w:tcPr>
          <w:p>
            <w:pPr>
              <w:pStyle w:val="12"/>
              <w:ind w:left="107"/>
              <w:rPr>
                <w:rFonts w:cs="宋体" w:asciiTheme="minorEastAsia" w:hAnsiTheme="minorEastAsia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630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cs="宋体" w:asciiTheme="minorEastAsia" w:hAnsiTheme="minorEastAsia" w:eastAsiaTheme="minorEastAsia"/>
                <w:sz w:val="20"/>
                <w:szCs w:val="20"/>
              </w:rPr>
            </w:pPr>
            <w:r>
              <w:rPr>
                <w:rFonts w:cs="宋体" w:asciiTheme="minorEastAsia" w:hAnsiTheme="minorEastAsia" w:eastAsiaTheme="minorEastAsia"/>
                <w:sz w:val="20"/>
                <w:szCs w:val="20"/>
              </w:rPr>
              <w:t>价值在线（https://www.ir-online.cn/）网络互动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0" w:type="dxa"/>
            <w:vAlign w:val="center"/>
          </w:tcPr>
          <w:p>
            <w:pPr>
              <w:pStyle w:val="12"/>
              <w:spacing w:before="1"/>
              <w:ind w:left="107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630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董事长 叶继跃</w:t>
            </w:r>
            <w:r>
              <w:rPr>
                <w:rFonts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sz w:val="20"/>
                <w:szCs w:val="20"/>
              </w:rPr>
              <w:t>独立董事 何丽丽</w:t>
            </w:r>
            <w:r>
              <w:rPr>
                <w:rFonts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sz w:val="20"/>
                <w:szCs w:val="20"/>
              </w:rPr>
              <w:t>董事会秘书 程沧</w:t>
            </w:r>
            <w:r>
              <w:rPr>
                <w:rFonts w:ascii="宋体" w:hAnsi="宋体" w:eastAsia="宋体" w:cs="宋体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sz w:val="20"/>
                <w:szCs w:val="20"/>
              </w:rPr>
              <w:t>财务总监 李帅红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2800" w:hRule="atLeast"/>
          <w:jc w:val="center"/>
        </w:trPr>
        <w:tc>
          <w:tcPr>
            <w:tcW w:w="2580" w:type="dxa"/>
          </w:tcPr>
          <w:p>
            <w:pPr>
              <w:pStyle w:val="12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  <w:p>
            <w:pPr>
              <w:pStyle w:val="12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  <w:p>
            <w:pPr>
              <w:pStyle w:val="12"/>
              <w:spacing w:before="5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  <w:p>
            <w:pPr>
              <w:pStyle w:val="12"/>
              <w:spacing w:before="1" w:line="499" w:lineRule="auto"/>
              <w:ind w:left="107" w:right="96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投资者关系活动主要内容介绍</w:t>
            </w:r>
          </w:p>
        </w:tc>
        <w:tc>
          <w:tcPr>
            <w:tcW w:w="6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02" w:firstLineChars="200"/>
              <w:jc w:val="both"/>
              <w:textAlignment w:val="auto"/>
              <w:outlineLvl w:val="9"/>
              <w:rPr>
                <w:rFonts w:ascii="宋体" w:hAnsi="宋体" w:eastAsia="宋体" w:cs="宋体"/>
                <w:b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lang w:val="en-US" w:eastAsia="zh-CN"/>
              </w:rPr>
              <w:t>1、</w:t>
            </w:r>
            <w:r>
              <w:rPr>
                <w:rFonts w:ascii="宋体" w:hAnsi="宋体" w:eastAsia="宋体" w:cs="宋体"/>
                <w:b/>
                <w:sz w:val="20"/>
              </w:rPr>
              <w:t>您好，我是关注公司已有五年的散户投资者。想请教三个问题：第一，公司2026年BDO的计划产量及对应的甲醇消耗量是多少？第二，乌海兰炭尾气项目预计何时投产、爬坡期多长，以及2026年预计能产出多少吨甲醇及其他化工产品？第三，该项目在2026年预计贡献多少营收和净利润，公司是否有信心在2026年实现净利润转正？</w:t>
            </w:r>
            <w:r>
              <w:rPr>
                <w:rFonts w:ascii="宋体" w:hAnsi="宋体" w:eastAsia="宋体" w:cs="宋体"/>
                <w:b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 w:val="0"/>
                <w:sz w:val="20"/>
              </w:rPr>
              <w:t xml:space="preserve">    答:尊敬的投资者，您好！公司2026年BDO计划产量约为22万吨以上，甲醇单耗约为0.95吨甲醇/吨BDO，年甲醇需求量约为21万吨。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00" w:firstLineChars="200"/>
              <w:jc w:val="both"/>
              <w:textAlignment w:val="auto"/>
              <w:outlineLvl w:val="9"/>
              <w:rPr>
                <w:rFonts w:ascii="宋体" w:hAnsi="宋体" w:eastAsia="宋体" w:cs="宋体"/>
                <w:b w:val="0"/>
                <w:sz w:val="20"/>
              </w:rPr>
            </w:pPr>
            <w:r>
              <w:rPr>
                <w:rFonts w:ascii="宋体" w:hAnsi="宋体" w:eastAsia="宋体" w:cs="宋体"/>
                <w:b w:val="0"/>
                <w:sz w:val="20"/>
              </w:rPr>
              <w:t>公司兰炭项目采用合成气制甲醇工艺，目前项目在相关部门申报中。项目后续具体建设时间请以公司信息公告为准。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0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sz w:val="20"/>
              </w:rPr>
              <w:t>公司橡胶制品业务稳健经营、轨道交通业务利润恢复、聚酯化纤业务力争扭亏为盈，2026年开年至今，BDO市场也出现了积极的变化，随着BDO业务亏损收窄，我们对全年净利润转正充满信心。感谢您的关注。</w:t>
            </w:r>
            <w:r>
              <w:rPr>
                <w:rFonts w:hint="eastAsia" w:ascii="宋体" w:hAnsi="宋体" w:eastAsia="宋体" w:cs="宋体"/>
                <w:b w:val="0"/>
                <w:sz w:val="2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02" w:firstLineChars="200"/>
              <w:jc w:val="both"/>
              <w:textAlignment w:val="auto"/>
              <w:outlineLvl w:val="9"/>
              <w:rPr>
                <w:rFonts w:ascii="宋体" w:hAnsi="宋体" w:eastAsia="宋体" w:cs="宋体"/>
                <w:b w:val="0"/>
                <w:sz w:val="20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2</w:t>
            </w:r>
            <w:r>
              <w:rPr>
                <w:rFonts w:hint="eastAsia" w:ascii="宋体" w:hAnsi="宋体" w:eastAsia="宋体" w:cs="宋体"/>
                <w:b/>
                <w:sz w:val="20"/>
                <w:lang w:eastAsia="zh-CN"/>
              </w:rPr>
              <w:t>、</w:t>
            </w:r>
            <w:r>
              <w:rPr>
                <w:rFonts w:ascii="宋体" w:hAnsi="宋体" w:eastAsia="宋体" w:cs="宋体"/>
                <w:b/>
                <w:sz w:val="20"/>
              </w:rPr>
              <w:t>BDO 业务毛利率为负、亏损较多，今年市场和盈利有没有改善的可能？</w:t>
            </w:r>
            <w:r>
              <w:rPr>
                <w:rFonts w:ascii="宋体" w:hAnsi="宋体" w:eastAsia="宋体" w:cs="宋体"/>
                <w:b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 w:val="0"/>
                <w:sz w:val="20"/>
              </w:rPr>
              <w:t xml:space="preserve">    答:尊敬的投资者，您好！2025年受行业竞争加剧、价格跌至历史低位影响，BDO行业整体陷入亏损，公司BDO业务也出现较大亏损。进入2026年，市场出现了一些积极的变化，公司BDO业务也面临边际改善的机遇：一是价格触底回升。根据隆众资讯数据，BDO华东散水价格从年初的7400元/吨回升至最新的8450元/吨，涨幅达14%，价格的回暖有助于公司BDO业务减亏。二是供给压力缓解。全行业亏损倒逼高成本老旧产能加速出清；原料电石产能能耗及环保审批受限、行业新增产能增速放缓，行业洗牌加速；短期内，企业通过集中检修、避峰生产方式实现阶段性去库存。3月份受益于抢出口行情供需出现阶段性紧平衡。三是需求端逐步回暖。今年一季度，BDO传统最大下游PTMEG-氨纶行业景气度回升，</w:t>
            </w:r>
            <w:r>
              <w:rPr>
                <w:rFonts w:hint="eastAsia" w:ascii="宋体" w:hAnsi="宋体" w:eastAsia="宋体" w:cs="宋体"/>
                <w:b w:val="0"/>
                <w:sz w:val="20"/>
                <w:lang w:eastAsia="zh-CN"/>
              </w:rPr>
              <w:t>原料</w:t>
            </w:r>
            <w:r>
              <w:rPr>
                <w:rFonts w:ascii="宋体" w:hAnsi="宋体" w:eastAsia="宋体" w:cs="宋体"/>
                <w:b w:val="0"/>
                <w:sz w:val="20"/>
              </w:rPr>
              <w:t>PTMEG及氨纶价格出现不同幅度上涨。可降解塑料领域政策利好持续释放：全国邮政快递网点统一于2026年1月1日起落地执行禁止使用不可降解的塑料包装袋等政策，国务院《快递暂行条例》将“禁塑”目标升级为具有法律强制力的刚性约束，今年各省市也陆续对快递业开展专项整治并发布地方规定；2026年1月新版《生物降解塑料购物袋》国家标准发布，新国标将生物降解率要求从60%提升至90%，塑料袋的绿色转型进入高质量发展的快车道。锂电池电解液、热塑性聚氨酯弹性体（TPU）、工程塑料等领域的需求不断增长。此外，高校团队也在积极拓展BDO的新兴领域应用：复旦大学团队研究以BDO为氢载体实现储氢释氢，清华大学郭宝华团队研究BDO在免充气轮胎领域的应用，蹇锡高院士团队以BDO为原料攻关合成橡胶、改性塑料、特种工程塑料等高端化合成路线等。这些创新方向为BDO打开了更广阔的应用空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00" w:firstLineChars="200"/>
              <w:jc w:val="both"/>
              <w:textAlignment w:val="auto"/>
              <w:outlineLvl w:val="9"/>
              <w:rPr>
                <w:rFonts w:ascii="宋体" w:hAnsi="宋体" w:eastAsia="宋体" w:cs="宋体"/>
                <w:b w:val="0"/>
                <w:sz w:val="20"/>
              </w:rPr>
            </w:pPr>
            <w:r>
              <w:rPr>
                <w:rFonts w:ascii="宋体" w:hAnsi="宋体" w:eastAsia="宋体" w:cs="宋体"/>
                <w:b w:val="0"/>
                <w:sz w:val="20"/>
              </w:rPr>
              <w:t>公司BDO一体化项目具备显著的区位资源和成本优势，包括乌海周边的丰富煤炭、石灰石及电力资源，在原材料和能源采购上具有区位优势；同时，公司通过污水处理零排放、热电联产、余热回收、催化剂回收、乙炔尾气回收及电石炉尾气制氢技改等措施持续降本增效，并获“2025年内蒙古自治区先进级智能工厂”称号。未来，兰炭项目将进一步深度降本，通过耦合兰炭尾气和电石炉尾气制氢气和甲醇，省却甲醇采购，并利用副产物煤焦油提升经济价值，有望使公司成为业内成本最低、最具竞争力的企业之一。
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00" w:firstLineChars="200"/>
              <w:jc w:val="both"/>
              <w:textAlignment w:val="auto"/>
              <w:outlineLvl w:val="9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ascii="宋体" w:hAnsi="宋体" w:eastAsia="宋体" w:cs="宋体"/>
                <w:b w:val="0"/>
                <w:sz w:val="20"/>
              </w:rPr>
              <w:t>公司持续关注下游需求变化及新兴领域拓展，并依托一体化布局和成本优势，有望在行业回暖之际率先实现盈利能力的改善。感谢您对公司的关注。</w:t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02" w:firstLineChars="200"/>
              <w:jc w:val="both"/>
              <w:textAlignment w:val="auto"/>
              <w:outlineLvl w:val="9"/>
              <w:rPr>
                <w:rFonts w:ascii="宋体" w:hAnsi="宋体" w:eastAsia="宋体" w:cs="宋体"/>
                <w:b w:val="0"/>
                <w:sz w:val="20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 xml:space="preserve"> 3</w:t>
            </w:r>
            <w:r>
              <w:rPr>
                <w:rFonts w:hint="eastAsia" w:ascii="宋体" w:hAnsi="宋体" w:eastAsia="宋体" w:cs="宋体"/>
                <w:b/>
                <w:sz w:val="20"/>
                <w:lang w:eastAsia="zh-CN"/>
              </w:rPr>
              <w:t>、</w:t>
            </w:r>
            <w:r>
              <w:rPr>
                <w:rFonts w:ascii="宋体" w:hAnsi="宋体" w:eastAsia="宋体" w:cs="宋体"/>
                <w:b/>
                <w:sz w:val="20"/>
              </w:rPr>
              <w:t>轨道交通业务毛利率不错、订单也稳，今年能成为稳定利润支柱吗？</w:t>
            </w:r>
            <w:r>
              <w:rPr>
                <w:rFonts w:ascii="宋体" w:hAnsi="宋体" w:eastAsia="宋体" w:cs="宋体"/>
                <w:b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 w:val="0"/>
                <w:sz w:val="20"/>
              </w:rPr>
              <w:t xml:space="preserve">    答:尊敬的投资者，您好！2025年度公司通过中标龙岩至龙川铁路（广东段）、深圳至江门铁路等新项目（两个项目总金额超1.57亿元），持续为轨道交通产业注入新动能，并积极构建“生产+施工+服务”全链条业务体系，以巩固市场竞争力。截至目前，广西三维和四川三维尚有充足的待执行订单存量，这些订单将支撑后续业务开展，2026年，公司计划重点跟进成都地铁五期、川藏铁路、成渝中线高铁等项目的建设进度，确保轨道交通业务实现“稳中有进”的发展态势。公司每季度公布经营数据，并对金额超1亿元的合同或中标及时披露，便于投资者跟踪业务进展。感谢您的关注！</w:t>
            </w:r>
            <w:r>
              <w:rPr>
                <w:rFonts w:ascii="宋体" w:hAnsi="宋体" w:eastAsia="宋体" w:cs="宋体"/>
                <w:b w:val="0"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 4</w:t>
            </w:r>
            <w:r>
              <w:rPr>
                <w:rFonts w:hint="eastAsia" w:ascii="宋体" w:hAnsi="宋体" w:eastAsia="宋体" w:cs="宋体"/>
                <w:b/>
                <w:sz w:val="20"/>
                <w:lang w:eastAsia="zh-CN"/>
              </w:rPr>
              <w:t>、</w:t>
            </w:r>
            <w:r>
              <w:rPr>
                <w:rFonts w:ascii="宋体" w:hAnsi="宋体" w:eastAsia="宋体" w:cs="宋体"/>
                <w:b/>
                <w:sz w:val="20"/>
              </w:rPr>
              <w:t>今年不分红是出于什么考虑，后面盈利了会恢复分红吗？</w:t>
            </w:r>
            <w:r>
              <w:rPr>
                <w:rFonts w:ascii="宋体" w:hAnsi="宋体" w:eastAsia="宋体" w:cs="宋体"/>
                <w:b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 w:val="0"/>
                <w:sz w:val="20"/>
              </w:rPr>
              <w:t xml:space="preserve">    答:尊敬的投资者，您好！公司2025年度未进行现金分红的原因主要是业绩亏损和公司长远发展考虑。2025年度，公司归属于上市公司股东的净利润为-3.78亿元，整体经营业绩亏损。同时，公司综合考虑了行业现状、发展战略、实际经营情况及资金需求等因素，为保障持续稳定经营和长远发展，决定不进行现金分红。这符合《公司章程》及监管规定中关于利润分配的政策，即在亏损时可暂不分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00" w:firstLineChars="200"/>
              <w:jc w:val="both"/>
              <w:textAlignment w:val="auto"/>
              <w:outlineLvl w:val="9"/>
              <w:rPr>
                <w:rFonts w:ascii="宋体" w:hAnsi="宋体" w:eastAsia="宋体" w:cs="宋体"/>
                <w:b w:val="0"/>
                <w:sz w:val="20"/>
              </w:rPr>
            </w:pPr>
            <w:r>
              <w:rPr>
                <w:rFonts w:ascii="宋体" w:hAnsi="宋体" w:eastAsia="宋体" w:cs="宋体"/>
                <w:b w:val="0"/>
                <w:sz w:val="20"/>
              </w:rPr>
              <w:t>公司实行持续、合理、稳定的利润分配政策，重视对投资者的合理投资回报并兼顾公司的可持续发展，具体分红决策需基于年度经营业绩、行业现状、发展战略、实际经营情况及资金需求等因素综合确定。公司在盈利后优先恢复现金分红以维护股东利益。感谢您对公司的关注。</w:t>
            </w:r>
            <w:r>
              <w:rPr>
                <w:rFonts w:ascii="宋体" w:hAnsi="宋体" w:eastAsia="宋体" w:cs="宋体"/>
                <w:b w:val="0"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 5</w:t>
            </w:r>
            <w:r>
              <w:rPr>
                <w:rFonts w:hint="eastAsia" w:ascii="宋体" w:hAnsi="宋体" w:eastAsia="宋体" w:cs="宋体"/>
                <w:b/>
                <w:sz w:val="20"/>
                <w:lang w:eastAsia="zh-CN"/>
              </w:rPr>
              <w:t>、</w:t>
            </w:r>
            <w:r>
              <w:rPr>
                <w:rFonts w:ascii="宋体" w:hAnsi="宋体" w:eastAsia="宋体" w:cs="宋体"/>
                <w:b/>
                <w:sz w:val="20"/>
              </w:rPr>
              <w:t>作为传统的行业，公司是否有发展新兴经济的规划？</w:t>
            </w:r>
            <w:r>
              <w:rPr>
                <w:rFonts w:ascii="宋体" w:hAnsi="宋体" w:eastAsia="宋体" w:cs="宋体"/>
                <w:b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 w:val="0"/>
                <w:sz w:val="20"/>
              </w:rPr>
              <w:t xml:space="preserve">    答:尊敬的投资者，您好！公司始终秉承“专注实业，立足中国，布局未来”的发展理念，未来将继续做精橡胶产业，做大轨交产业，做强新材料产业。目前公司已围绕现有业务需求布局相关新兴业务方向，比如在化纤产业构建了聚酯切片-纺丝一体化工业涤纶丝生产基地，生产的功能性聚酯切片、高强涤纶工业丝等产品可应用于多个新兴领域；同时公司也在内蒙古布局新材料相关产能，依托现有产业基础推进新材料产业的发展建设，后续相关进展请留意公司披露的相关公告。感谢您对公司的关注。</w:t>
            </w:r>
            <w:r>
              <w:rPr>
                <w:rFonts w:ascii="宋体" w:hAnsi="宋体" w:eastAsia="宋体" w:cs="宋体"/>
                <w:b w:val="0"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/>
                <w:sz w:val="20"/>
              </w:rPr>
              <w:t xml:space="preserve">    6</w:t>
            </w:r>
            <w:r>
              <w:rPr>
                <w:rFonts w:hint="eastAsia" w:ascii="宋体" w:hAnsi="宋体" w:eastAsia="宋体" w:cs="宋体"/>
                <w:b/>
                <w:sz w:val="20"/>
                <w:lang w:eastAsia="zh-CN"/>
              </w:rPr>
              <w:t>、</w:t>
            </w:r>
            <w:r>
              <w:rPr>
                <w:rFonts w:ascii="宋体" w:hAnsi="宋体" w:eastAsia="宋体" w:cs="宋体"/>
                <w:b/>
                <w:sz w:val="20"/>
              </w:rPr>
              <w:t>25年度公司重点推进的技改项目降本效果如何？26年有哪些新项目？</w:t>
            </w:r>
            <w:r>
              <w:rPr>
                <w:rFonts w:ascii="宋体" w:hAnsi="宋体" w:eastAsia="宋体" w:cs="宋体"/>
                <w:b/>
                <w:sz w:val="20"/>
              </w:rPr>
              <w:br w:type="textWrapping"/>
            </w:r>
            <w:r>
              <w:rPr>
                <w:rFonts w:ascii="宋体" w:hAnsi="宋体" w:eastAsia="宋体" w:cs="宋体"/>
                <w:b w:val="0"/>
                <w:sz w:val="20"/>
              </w:rPr>
              <w:t xml:space="preserve">    答:尊敬的投资者，您好！2025年度，公司重点推进两项关键技改项目：电石炉尾气制氢技改项目、BDO装置余热利用+泵类增效节电项目。电石炉尾气制氢技改项目充分利用电石尾气提纯制氢，替代甲醇制氢，氢气成本大幅下降，同时对优化能源结构、提升资源综合利用水平、推动产业链绿色低碳发展具有重要意义，本项目已于2026年3月顺利建成并一次开车成功。BDO装置余热利用及泵类增效节电项目通过热量回收与循环利用，有效降低电能与循环水消耗，进一步提升能源综合效率。以上技改项目完成后，经初步测算，原材料采购成本可下降10-15%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00" w:firstLineChars="200"/>
              <w:jc w:val="both"/>
              <w:textAlignment w:val="auto"/>
              <w:outlineLvl w:val="9"/>
              <w:rPr>
                <w:rFonts w:ascii="宋体" w:hAnsi="宋体" w:eastAsia="宋体" w:cs="宋体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b w:val="0"/>
                <w:sz w:val="20"/>
              </w:rPr>
              <w:t>未来将围绕产业链延伸与资源循环，已规划正丁醇回收提质、铜铋催化剂回收、BDO回收及甲醛外售等技改项目，并重点推进兰炭项目的建设，进一步降低BDO生产成本。感谢您的关注！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580" w:type="dxa"/>
            <w:vAlign w:val="center"/>
          </w:tcPr>
          <w:p>
            <w:pPr>
              <w:pStyle w:val="12"/>
              <w:spacing w:before="1"/>
              <w:ind w:left="107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630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 w:line="36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0" w:type="dxa"/>
            <w:vAlign w:val="center"/>
          </w:tcPr>
          <w:p>
            <w:pPr>
              <w:pStyle w:val="12"/>
              <w:spacing w:before="1"/>
              <w:ind w:left="107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6308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0" w:beforeAutospacing="1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2026年05月12日</w:t>
            </w:r>
          </w:p>
        </w:tc>
      </w:tr>
    </w:tbl>
    <w:p>
      <w:pPr>
        <w:rPr>
          <w:rFonts w:ascii="宋体" w:hAnsi="宋体" w:eastAsia="宋体" w:cs="宋体"/>
          <w:sz w:val="28"/>
          <w:szCs w:val="36"/>
        </w:rPr>
      </w:pPr>
    </w:p>
    <w:sectPr>
      <w:type w:val="continuous"/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icrosoft JhengHei UI">
    <w:altName w:val="Microsoft JhengHei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KSOFA61C387F">
    <w:altName w:val="Microsoft JhengHei"/>
    <w:panose1 w:val="020B0604030504040204"/>
    <w:charset w:val="88"/>
    <w:family w:val="auto"/>
    <w:pitch w:val="default"/>
    <w:sig w:usb0="00000000" w:usb1="00000000" w:usb2="00000000" w:usb3="00000000" w:csb0="0010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lYzcyYjBhYjdiNDQ2NjdiODY5YmM2NjQ0YWRiYTUifQ=="/>
  </w:docVars>
  <w:rsids>
    <w:rsidRoot w:val="00301D32"/>
    <w:rsid w:val="00026CC3"/>
    <w:rsid w:val="00036089"/>
    <w:rsid w:val="00053CFA"/>
    <w:rsid w:val="000633EC"/>
    <w:rsid w:val="00063804"/>
    <w:rsid w:val="000665A2"/>
    <w:rsid w:val="000877AB"/>
    <w:rsid w:val="000B7C08"/>
    <w:rsid w:val="000D12CF"/>
    <w:rsid w:val="000D2D88"/>
    <w:rsid w:val="000E4B20"/>
    <w:rsid w:val="0011418F"/>
    <w:rsid w:val="00172C24"/>
    <w:rsid w:val="001E59D1"/>
    <w:rsid w:val="001E5EA4"/>
    <w:rsid w:val="002042A7"/>
    <w:rsid w:val="00205911"/>
    <w:rsid w:val="002146AD"/>
    <w:rsid w:val="00275CB6"/>
    <w:rsid w:val="002800B5"/>
    <w:rsid w:val="00295B29"/>
    <w:rsid w:val="002D4073"/>
    <w:rsid w:val="002E7098"/>
    <w:rsid w:val="00301D32"/>
    <w:rsid w:val="00366FAD"/>
    <w:rsid w:val="0037105B"/>
    <w:rsid w:val="003975BA"/>
    <w:rsid w:val="003A74E6"/>
    <w:rsid w:val="003B73DD"/>
    <w:rsid w:val="003D011C"/>
    <w:rsid w:val="004108C7"/>
    <w:rsid w:val="00412DC2"/>
    <w:rsid w:val="00440041"/>
    <w:rsid w:val="00451268"/>
    <w:rsid w:val="004515AD"/>
    <w:rsid w:val="00451857"/>
    <w:rsid w:val="00453516"/>
    <w:rsid w:val="00457548"/>
    <w:rsid w:val="00470DB2"/>
    <w:rsid w:val="004925E7"/>
    <w:rsid w:val="00495B11"/>
    <w:rsid w:val="004F6FF3"/>
    <w:rsid w:val="00571B49"/>
    <w:rsid w:val="005743AE"/>
    <w:rsid w:val="005D64CA"/>
    <w:rsid w:val="005E5717"/>
    <w:rsid w:val="005E6DB2"/>
    <w:rsid w:val="0061433E"/>
    <w:rsid w:val="0062751D"/>
    <w:rsid w:val="006354AA"/>
    <w:rsid w:val="00661AFA"/>
    <w:rsid w:val="006726BF"/>
    <w:rsid w:val="00677B77"/>
    <w:rsid w:val="0068718A"/>
    <w:rsid w:val="006A2739"/>
    <w:rsid w:val="006B5C95"/>
    <w:rsid w:val="006E14B0"/>
    <w:rsid w:val="006F0108"/>
    <w:rsid w:val="00704AE6"/>
    <w:rsid w:val="007153A2"/>
    <w:rsid w:val="00724A68"/>
    <w:rsid w:val="007271BF"/>
    <w:rsid w:val="00730DD3"/>
    <w:rsid w:val="00733224"/>
    <w:rsid w:val="00764128"/>
    <w:rsid w:val="007824B8"/>
    <w:rsid w:val="007910DD"/>
    <w:rsid w:val="007A3EC1"/>
    <w:rsid w:val="007B3368"/>
    <w:rsid w:val="007D0A69"/>
    <w:rsid w:val="007D6DC4"/>
    <w:rsid w:val="00853463"/>
    <w:rsid w:val="00893F25"/>
    <w:rsid w:val="00895035"/>
    <w:rsid w:val="008B2B14"/>
    <w:rsid w:val="008C6AED"/>
    <w:rsid w:val="008C7604"/>
    <w:rsid w:val="008E1B27"/>
    <w:rsid w:val="00903379"/>
    <w:rsid w:val="00906975"/>
    <w:rsid w:val="00917F0B"/>
    <w:rsid w:val="00917F8B"/>
    <w:rsid w:val="00960964"/>
    <w:rsid w:val="00965E4D"/>
    <w:rsid w:val="009B1D5C"/>
    <w:rsid w:val="009C2E31"/>
    <w:rsid w:val="009E1955"/>
    <w:rsid w:val="00A527AA"/>
    <w:rsid w:val="00A5684D"/>
    <w:rsid w:val="00A75C61"/>
    <w:rsid w:val="00A9601B"/>
    <w:rsid w:val="00AD100E"/>
    <w:rsid w:val="00AE1E36"/>
    <w:rsid w:val="00AF74AA"/>
    <w:rsid w:val="00B03C2F"/>
    <w:rsid w:val="00B15064"/>
    <w:rsid w:val="00B340A3"/>
    <w:rsid w:val="00B410F5"/>
    <w:rsid w:val="00B6280C"/>
    <w:rsid w:val="00B671A4"/>
    <w:rsid w:val="00B72CD4"/>
    <w:rsid w:val="00B85B00"/>
    <w:rsid w:val="00BF132F"/>
    <w:rsid w:val="00C13878"/>
    <w:rsid w:val="00CA1705"/>
    <w:rsid w:val="00CE1A54"/>
    <w:rsid w:val="00CF5FB6"/>
    <w:rsid w:val="00D02518"/>
    <w:rsid w:val="00D17454"/>
    <w:rsid w:val="00D33FBC"/>
    <w:rsid w:val="00D7535C"/>
    <w:rsid w:val="00D76302"/>
    <w:rsid w:val="00DA5CE2"/>
    <w:rsid w:val="00DE10E8"/>
    <w:rsid w:val="00E16FDA"/>
    <w:rsid w:val="00E35F58"/>
    <w:rsid w:val="00E45BD9"/>
    <w:rsid w:val="00E66FFC"/>
    <w:rsid w:val="00E759D6"/>
    <w:rsid w:val="00E84A8C"/>
    <w:rsid w:val="00E976DE"/>
    <w:rsid w:val="00EC0F83"/>
    <w:rsid w:val="00EE3187"/>
    <w:rsid w:val="00EF499B"/>
    <w:rsid w:val="00F14977"/>
    <w:rsid w:val="00FB4A08"/>
    <w:rsid w:val="00FC0C2A"/>
    <w:rsid w:val="00FD7F8E"/>
    <w:rsid w:val="00FF11E4"/>
    <w:rsid w:val="04B072D4"/>
    <w:rsid w:val="05F575D4"/>
    <w:rsid w:val="064249C6"/>
    <w:rsid w:val="08641132"/>
    <w:rsid w:val="09186774"/>
    <w:rsid w:val="0945438F"/>
    <w:rsid w:val="0A71587A"/>
    <w:rsid w:val="0B792C38"/>
    <w:rsid w:val="0C28640C"/>
    <w:rsid w:val="0E90599A"/>
    <w:rsid w:val="0ED720CD"/>
    <w:rsid w:val="12070CAE"/>
    <w:rsid w:val="145F688C"/>
    <w:rsid w:val="15DD2205"/>
    <w:rsid w:val="17072842"/>
    <w:rsid w:val="17A67110"/>
    <w:rsid w:val="1864189B"/>
    <w:rsid w:val="18D73A7D"/>
    <w:rsid w:val="19557370"/>
    <w:rsid w:val="1BD06B6A"/>
    <w:rsid w:val="1F782BDE"/>
    <w:rsid w:val="204A6A53"/>
    <w:rsid w:val="23317869"/>
    <w:rsid w:val="25650CAE"/>
    <w:rsid w:val="26406598"/>
    <w:rsid w:val="28080056"/>
    <w:rsid w:val="28734C1A"/>
    <w:rsid w:val="28C72DDD"/>
    <w:rsid w:val="29EE0E64"/>
    <w:rsid w:val="2BC4020A"/>
    <w:rsid w:val="2EF90F16"/>
    <w:rsid w:val="2F125C63"/>
    <w:rsid w:val="302C3D0A"/>
    <w:rsid w:val="3104598F"/>
    <w:rsid w:val="33DE31BB"/>
    <w:rsid w:val="389C49C0"/>
    <w:rsid w:val="39BC78F4"/>
    <w:rsid w:val="3B35486F"/>
    <w:rsid w:val="3EF1250A"/>
    <w:rsid w:val="40567DB0"/>
    <w:rsid w:val="40FF5CD2"/>
    <w:rsid w:val="42DB40B0"/>
    <w:rsid w:val="43B71B0A"/>
    <w:rsid w:val="44FA0589"/>
    <w:rsid w:val="45A663E3"/>
    <w:rsid w:val="469F09AF"/>
    <w:rsid w:val="4B756271"/>
    <w:rsid w:val="4C8E1CA8"/>
    <w:rsid w:val="4D6D36A4"/>
    <w:rsid w:val="510903EF"/>
    <w:rsid w:val="53F137F4"/>
    <w:rsid w:val="543A6906"/>
    <w:rsid w:val="56850CBB"/>
    <w:rsid w:val="57D46848"/>
    <w:rsid w:val="59D8738A"/>
    <w:rsid w:val="5A666D76"/>
    <w:rsid w:val="5B2253C2"/>
    <w:rsid w:val="5CF02E0F"/>
    <w:rsid w:val="603269D2"/>
    <w:rsid w:val="61A52BCA"/>
    <w:rsid w:val="66D61339"/>
    <w:rsid w:val="67095496"/>
    <w:rsid w:val="67ED7463"/>
    <w:rsid w:val="681A546A"/>
    <w:rsid w:val="69CB37D4"/>
    <w:rsid w:val="6A0D5B9B"/>
    <w:rsid w:val="6A3B23B1"/>
    <w:rsid w:val="6AEA32DC"/>
    <w:rsid w:val="6CC24AB5"/>
    <w:rsid w:val="6D9271B2"/>
    <w:rsid w:val="6F134790"/>
    <w:rsid w:val="6FE81F5F"/>
    <w:rsid w:val="72446028"/>
    <w:rsid w:val="73076EC0"/>
    <w:rsid w:val="74210CA6"/>
    <w:rsid w:val="746F4E76"/>
    <w:rsid w:val="788C25F5"/>
    <w:rsid w:val="79F72AA9"/>
    <w:rsid w:val="7A144529"/>
    <w:rsid w:val="7B6C7915"/>
    <w:rsid w:val="7DD3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outlineLvl w:val="0"/>
    </w:pPr>
    <w:rPr>
      <w:rFonts w:ascii="PMingLiU" w:hAnsi="PMingLiU" w:eastAsia="PMingLiU" w:cs="PMingLiU"/>
      <w:sz w:val="44"/>
      <w:szCs w:val="44"/>
    </w:rPr>
  </w:style>
  <w:style w:type="character" w:default="1" w:styleId="9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16"/>
    <w:qFormat/>
    <w:uiPriority w:val="0"/>
    <w:rPr>
      <w:b/>
      <w:bCs/>
    </w:rPr>
  </w:style>
  <w:style w:type="paragraph" w:styleId="4">
    <w:name w:val="annotation text"/>
    <w:basedOn w:val="1"/>
    <w:link w:val="15"/>
    <w:qFormat/>
    <w:uiPriority w:val="0"/>
  </w:style>
  <w:style w:type="paragraph" w:styleId="5">
    <w:name w:val="Body Text"/>
    <w:basedOn w:val="1"/>
    <w:qFormat/>
    <w:uiPriority w:val="1"/>
    <w:pPr>
      <w:ind w:left="220"/>
    </w:pPr>
    <w:rPr>
      <w:sz w:val="32"/>
      <w:szCs w:val="32"/>
    </w:r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9"/>
    <w:link w:val="8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4">
    <w:name w:val="页脚 字符"/>
    <w:basedOn w:val="9"/>
    <w:link w:val="7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5">
    <w:name w:val="批注文字 字符"/>
    <w:basedOn w:val="9"/>
    <w:link w:val="4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6">
    <w:name w:val="批注主题 字符"/>
    <w:basedOn w:val="15"/>
    <w:link w:val="3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character" w:customStyle="1" w:styleId="17">
    <w:name w:val="批注框文本 字符"/>
    <w:basedOn w:val="9"/>
    <w:link w:val="6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416454-D52C-4974-A468-5D02FFFCA6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</Words>
  <Characters>262</Characters>
  <Lines>2</Lines>
  <Paragraphs>1</Paragraphs>
  <ScaleCrop>false</ScaleCrop>
  <LinksUpToDate>false</LinksUpToDate>
  <CharactersWithSpaces>314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2022-04-12T06:10:00Z</dcterms:created>
  <dc:creator>jie.huang</dc:creator>
  <cp:lastModifiedBy>三维股份张雷</cp:lastModifiedBy>
  <dcterms:modified xsi:type="dcterms:W3CDTF">2026-05-12T08:41:05Z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57D148DF2F764966BF4E1C38A6255FA2</vt:lpwstr>
  </property>
</Properties>
</file>