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B429" w14:textId="748D8241" w:rsidR="00A16FBE" w:rsidRDefault="000000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603262               </w:t>
      </w:r>
      <w:r w:rsidR="00645163">
        <w:rPr>
          <w:rFonts w:hint="eastAsia"/>
          <w:color w:val="000000"/>
          <w:sz w:val="24"/>
        </w:rPr>
        <w:t xml:space="preserve">     </w:t>
      </w:r>
      <w:r>
        <w:rPr>
          <w:color w:val="000000"/>
          <w:sz w:val="24"/>
        </w:rPr>
        <w:t xml:space="preserve">              </w:t>
      </w:r>
      <w:r>
        <w:rPr>
          <w:rFonts w:hAnsi="宋体"/>
          <w:bCs/>
          <w:iCs/>
          <w:color w:val="000000"/>
          <w:sz w:val="24"/>
        </w:rPr>
        <w:t>证券简称：</w:t>
      </w:r>
      <w:proofErr w:type="gramStart"/>
      <w:r>
        <w:rPr>
          <w:color w:val="000000"/>
          <w:sz w:val="24"/>
        </w:rPr>
        <w:t>技源集团</w:t>
      </w:r>
      <w:proofErr w:type="gramEnd"/>
    </w:p>
    <w:p w14:paraId="36A76BF3" w14:textId="77777777" w:rsidR="00A16FBE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proofErr w:type="gramStart"/>
      <w:r>
        <w:rPr>
          <w:rFonts w:ascii="宋体" w:hAnsi="宋体"/>
          <w:b/>
          <w:bCs/>
          <w:iCs/>
          <w:color w:val="000000"/>
          <w:sz w:val="32"/>
          <w:szCs w:val="32"/>
        </w:rPr>
        <w:t>技源集团</w:t>
      </w:r>
      <w:proofErr w:type="gramEnd"/>
      <w:r>
        <w:rPr>
          <w:rFonts w:ascii="宋体" w:hAnsi="宋体"/>
          <w:b/>
          <w:bCs/>
          <w:iCs/>
          <w:color w:val="000000"/>
          <w:sz w:val="32"/>
          <w:szCs w:val="32"/>
        </w:rPr>
        <w:t>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4FE52810" w14:textId="77777777" w:rsidR="00A16FBE" w:rsidRDefault="000000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A16FBE" w14:paraId="2F6A17B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BF09" w14:textId="77777777" w:rsidR="00A16FB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73339236" w14:textId="77777777" w:rsidR="00A16FBE" w:rsidRDefault="00A16FB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0892" w14:textId="77777777" w:rsidR="00A16FBE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03BE92B3" w14:textId="77777777" w:rsidR="00A16FB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410E7F58" w14:textId="77777777" w:rsidR="00A16FB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64383426" w14:textId="77777777" w:rsidR="00A16FBE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5B358632" w14:textId="77777777" w:rsidR="00A16FBE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A16FBE" w14:paraId="211D117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8784" w14:textId="77777777" w:rsidR="00A16FB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9EDA" w14:textId="77777777" w:rsidR="00A16FBE" w:rsidRDefault="0000000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A16FBE" w14:paraId="53B492F2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2798" w14:textId="77777777" w:rsidR="00A16FB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EDDA" w14:textId="45ABB2B7" w:rsidR="00A16FBE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12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>1</w:t>
            </w:r>
            <w:r w:rsidR="003B0BAE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:30~17:00</w:t>
            </w:r>
          </w:p>
        </w:tc>
      </w:tr>
      <w:tr w:rsidR="00A16FBE" w14:paraId="5977FBC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2415" w14:textId="77777777" w:rsidR="00A16FB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0F1F" w14:textId="77777777" w:rsidR="00A16FBE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A16FBE" w14:paraId="04FBB24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06F" w14:textId="77777777" w:rsidR="00A16FB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3A1A" w14:textId="77777777" w:rsidR="00645163" w:rsidRPr="00645163" w:rsidRDefault="00645163" w:rsidP="00645163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645163">
              <w:rPr>
                <w:rFonts w:ascii="宋体" w:hAnsi="宋体" w:hint="eastAsia"/>
                <w:bCs/>
                <w:sz w:val="24"/>
              </w:rPr>
              <w:t>董事长：周京石（Jingshi Joe Zhou）</w:t>
            </w:r>
          </w:p>
          <w:p w14:paraId="7670D374" w14:textId="77777777" w:rsidR="00645163" w:rsidRPr="00645163" w:rsidRDefault="00645163" w:rsidP="00645163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645163">
              <w:rPr>
                <w:rFonts w:ascii="宋体" w:hAnsi="宋体" w:hint="eastAsia"/>
                <w:bCs/>
                <w:sz w:val="24"/>
              </w:rPr>
              <w:t>董事、总经理：龙玲</w:t>
            </w:r>
          </w:p>
          <w:p w14:paraId="616D0B70" w14:textId="77777777" w:rsidR="00645163" w:rsidRPr="00645163" w:rsidRDefault="00645163" w:rsidP="00645163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645163">
              <w:rPr>
                <w:rFonts w:ascii="宋体" w:hAnsi="宋体" w:hint="eastAsia"/>
                <w:bCs/>
                <w:sz w:val="24"/>
              </w:rPr>
              <w:t>职工董事、财务总监、董事会秘书：汪燕</w:t>
            </w:r>
          </w:p>
          <w:p w14:paraId="0AC259E4" w14:textId="77777777" w:rsidR="00645163" w:rsidRDefault="00645163" w:rsidP="00645163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645163">
              <w:rPr>
                <w:rFonts w:ascii="宋体" w:hAnsi="宋体" w:hint="eastAsia"/>
                <w:bCs/>
                <w:sz w:val="24"/>
              </w:rPr>
              <w:t>独立董事：李忠</w:t>
            </w:r>
          </w:p>
          <w:p w14:paraId="57A0312F" w14:textId="1050B409" w:rsidR="00A16FBE" w:rsidRDefault="00000000" w:rsidP="00645163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证券与投资总监</w:t>
            </w:r>
            <w:r w:rsidR="00645163"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/>
                <w:bCs/>
                <w:sz w:val="24"/>
              </w:rPr>
              <w:t>曲明磊</w:t>
            </w:r>
          </w:p>
          <w:p w14:paraId="378BB06A" w14:textId="0317734C" w:rsidR="00A16FBE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证券事务代表</w:t>
            </w:r>
            <w:r w:rsidR="00645163"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/>
                <w:bCs/>
                <w:sz w:val="24"/>
              </w:rPr>
              <w:t>曹进文</w:t>
            </w:r>
          </w:p>
        </w:tc>
      </w:tr>
      <w:tr w:rsidR="00A16FBE" w14:paraId="00E5C6F2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B9C9" w14:textId="77777777" w:rsidR="00A16FB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68CE411D" w14:textId="77777777" w:rsidR="00A16FBE" w:rsidRDefault="00A16FB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E15B" w14:textId="77777777" w:rsidR="00A16FBE" w:rsidRDefault="00000000" w:rsidP="00645163">
            <w:pPr>
              <w:spacing w:beforeLines="50" w:before="156" w:line="46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0F664883" w14:textId="35AEDCAA" w:rsidR="00A16FBE" w:rsidRDefault="00000000" w:rsidP="00645163">
            <w:pPr>
              <w:spacing w:line="4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61F88502" w14:textId="77777777" w:rsidR="00A16FBE" w:rsidRDefault="00000000" w:rsidP="00645163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管理层您好。在当前行业环境下，降本增效和数字化转型是很多企业的共识。请问公司今年在优化内部管理或推进业务数字化方面，大致的重点投入方向是什么？管理层预期这将在未来对公司的运营效率带来怎样的改善？</w:t>
            </w:r>
          </w:p>
          <w:p w14:paraId="16137924" w14:textId="1AE4A830" w:rsidR="00A16FBE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尊敬的投资者：您好！感谢您的提问。2026年，公司将深化战略执行与组织变革，加速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转型成效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显现：（1）公司将全力推动“构建全球领先的营养补充剂解决方案创新系统和商业化平台”战略的落地实施。（2）深化“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OneTSI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>”战略性组织变革，打破内部壁垒，充分释放内部协同价值。（3）进一步规范内部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管控流程、深化全面预算管理与项目管理，持续提升运营能力。（4）优化全球产能布局，构建高效韧性供应链。公司将持续推进全球产能布局与供应链体系的建设与优化，通过优化全球供应链体系，提升资源配置效率，为业务的全球化发展提供稳定、高效的制造与供应保障。（5）在生产制造、运营管理、财务管理等方面进一步提升数字化水平，并积极利用AI等先进技术为业务和管理赋能。前述工作的开展对于公司的战略实施和转型升级具有重要意义，并将产生积极作用。</w:t>
            </w:r>
          </w:p>
          <w:p w14:paraId="041B24A3" w14:textId="5114EB6A" w:rsidR="00A16FBE" w:rsidRDefault="00000000" w:rsidP="00645163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2、境外收入占比93.04%，高度依赖海外市场，当前国际贸易摩擦、关税政策变化对公司业务影响几何？有何应对措施？</w:t>
            </w:r>
          </w:p>
          <w:p w14:paraId="20592A6D" w14:textId="77777777" w:rsidR="00A16FBE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：您好！感谢您的提问。公司产品面向全球市场，销售区域主要集中在美国、欧洲、澳大利亚、东南亚、巴西等国家或地区。当前国际贸易摩擦、关税政策已经有所缓和，未来如果中美贸易摩擦持续加深，关税加征相关实施方式等进一步发生变化，或相关国家贸易政策变动、贸易摩擦加剧，公司作为全球HMB原料最大供应商和高品质氨糖、硫酸软骨素核心供应商，在行业及主要客户处具有不可替代性，且主要产品拥有专利及品牌保护，具有销售定价权以及向产业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链其他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环节的成本转嫁能力，同时公司已在澳大利亚等地进行海外产能布局，亦有助于应对海外关税、贸易政策变化等方面的潜在影响。</w:t>
            </w:r>
          </w:p>
          <w:p w14:paraId="17BD6DB1" w14:textId="14C5E783" w:rsidR="00A16FBE" w:rsidRDefault="00000000" w:rsidP="00645163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3、HMB作为全球市占率领先的核心产品，2025年营收3.12亿元（占比28.56%），未来是否面临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竞品冲击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或价格战压力？公司如何巩固其龙头地位？</w:t>
            </w:r>
          </w:p>
          <w:p w14:paraId="5925EDD3" w14:textId="0747653B" w:rsidR="00A16FBE" w:rsidRDefault="00645163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尊敬的投资者：您好！感谢您的提问。公司目前是全球HMB市场的领导者和主要推动者，在试验数据、应用场景开发、专利、工艺、产能、品质、认证、品牌等多维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度具备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优势。如因HMB市场加速增长可能导致的市场竞争加剧，公司有若干巩固竞争优势的措施：持续丰富功能宣称、配方、工艺等维度的新专利，强化专利壁垒；开发新的工艺路线；利用公司精加工优化原料技术平台，针对客户需求痛点提供定制化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HMB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>原料；结合公司在创新肌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酸等其他原料、配方、剂型等方面的能力，为客户提供预混料、创新HMB制剂产品全案等多样化、高附加值产品和服务。</w:t>
            </w:r>
          </w:p>
          <w:p w14:paraId="1F219F48" w14:textId="59034679" w:rsidR="00A16FBE" w:rsidRDefault="00000000" w:rsidP="00645163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4、2025年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扣非净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利润降幅（25.63%）大于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归母净利润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降幅，非经常性损益中哪些项目影响较大，是否具有持续性？</w:t>
            </w:r>
          </w:p>
          <w:p w14:paraId="67E848A6" w14:textId="77777777" w:rsidR="00A16FBE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尊敬的投资者：您好！感谢您的提问。2025年，公司非经常性损益金额为681.14万元，教2024年增长较多，主要原因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系报告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期内公司IPO募集资金到账，公司理财收益增加较快，随着公司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募投项目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的逐渐开展，预计募集资金理财收益将有所下降。</w:t>
            </w:r>
          </w:p>
          <w:p w14:paraId="5537EAAF" w14:textId="078A5025" w:rsidR="00A16FBE" w:rsidRDefault="00000000" w:rsidP="00645163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5、公司从原料商向“解决方案平台”转型，短期投入较大，预计何时能看到转型带来的业绩拐点？核心衡量指标有哪些？</w:t>
            </w:r>
          </w:p>
          <w:p w14:paraId="5D33285E" w14:textId="60313FA1" w:rsidR="00A16FBE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尊敬的投资者：您好！感谢您的提问。公司正在全力推动“构建全球领先的营养补充剂解决方案创新系统和商业化平台”战略的落地实施。2026年，公司将进一步深化“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OneTSI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>”战略性组织变革，打破内部壁垒，充分释放内部协同价值。通过进一步规范内部管控流程、深化全面预算管理与项目管理，持续提升运营能力。同时，优化资源配置，如将技术创新中心项目实施地迁至上海以吸纳高端人才，确保将战略规划转化为具体的行动和务实的成效。业务方面，公司聚焦于加速个性化精准营养商业化，优化全球产能布局，构建高效韧性供应链，以及强化创新产品市场开发，推动向解决方案合作伙伴深度转型。伴随前述战略落地实施和深度转型的进程，以创新营养补充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剂解决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方案、个性化精准营养等为代表的业务增长点、业绩端的成长性有望逐步显现。</w:t>
            </w:r>
          </w:p>
          <w:p w14:paraId="0EA09477" w14:textId="5C07A0B0" w:rsidR="00A16FBE" w:rsidRDefault="00000000" w:rsidP="00645163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6、前五名客户销售额占比49.05%，客户集中度较高，是否存在大客户依赖风险？2025年核心客户合作是否有变化</w:t>
            </w:r>
          </w:p>
          <w:p w14:paraId="416C4570" w14:textId="120AAA48" w:rsidR="00A16FBE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：您好！感谢您的提问。2025年，公司前五名客户销售额占比49.05%，自2023年来逐年下降。公司与主要客户合作良好，2025年与主要客户合作未发生重大变化。公司积极拓展新客户群体，不存在大客户依赖风险。</w:t>
            </w:r>
          </w:p>
          <w:p w14:paraId="71B0B9F8" w14:textId="77777777" w:rsidR="00A16FBE" w:rsidRDefault="00000000" w:rsidP="00645163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7、谈谈你们公司的创新情况</w:t>
            </w:r>
          </w:p>
          <w:p w14:paraId="203A8AA6" w14:textId="47293448" w:rsidR="00A16FBE" w:rsidRPr="00645163" w:rsidRDefault="00000000" w:rsidP="00645163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尊敬的投资者：您好！感谢您的提问。自创立以来，公司始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终将持续创新能力作为核心竞争力的关键组成部分，并以此为核心动力，系统性地驱动业务发展。公司的持续创新能力体现在产品与技术的持续研发，战略、组织和商业模式的持续迭代升级等多个维度。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 w:rsidR="003B0BAE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战略层面，公司致力于构建全球领先的营养补充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剂解决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方案创新体系和商业化平台。业务层面，公司围绕“TSI端到端解决方案”这一核心，打造覆盖创新成分、原料优化、高品质制造、创新剂型及配方开发的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全价值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链闭环，持续提升从概念到产品的各环节技术领先性与品质可靠性，加速研发创新向商业化转化。</w:t>
            </w:r>
          </w:p>
        </w:tc>
      </w:tr>
      <w:tr w:rsidR="00A16FBE" w14:paraId="363ACEE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E4B8" w14:textId="77777777" w:rsidR="00A16FB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202A" w14:textId="77777777" w:rsidR="00A16FBE" w:rsidRDefault="00A16FB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A16FBE" w14:paraId="262D4A9B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40D8" w14:textId="77777777" w:rsidR="00A16FB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4D4D" w14:textId="039936B5" w:rsidR="00A16FBE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 xml:space="preserve">2026-05-12 </w:t>
            </w:r>
          </w:p>
        </w:tc>
      </w:tr>
    </w:tbl>
    <w:p w14:paraId="3293E8A9" w14:textId="77777777" w:rsidR="00A16FBE" w:rsidRDefault="00A16FBE"/>
    <w:sectPr w:rsidR="00A16FB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D792" w14:textId="77777777" w:rsidR="00AD79C2" w:rsidRDefault="00AD79C2">
      <w:r>
        <w:separator/>
      </w:r>
    </w:p>
  </w:endnote>
  <w:endnote w:type="continuationSeparator" w:id="0">
    <w:p w14:paraId="5C553D67" w14:textId="77777777" w:rsidR="00AD79C2" w:rsidRDefault="00AD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CAC8" w14:textId="77777777" w:rsidR="00A16FBE" w:rsidRDefault="00000000">
    <w:pPr>
      <w:pStyle w:val="a3"/>
      <w:jc w:val="right"/>
    </w:pPr>
    <w:r>
      <w:rPr>
        <w:rFonts w:ascii="仿宋" w:eastAsia="仿宋" w:hAnsi="仿宋" w:hint="eastAsia"/>
        <w:sz w:val="24"/>
        <w:szCs w:val="24"/>
        <w:lang w:eastAsia="zh-Hans"/>
      </w:rPr>
      <w:t>深圳市全景网络有限公司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8B5B4" w14:textId="77777777" w:rsidR="00AD79C2" w:rsidRDefault="00AD79C2">
      <w:r>
        <w:separator/>
      </w:r>
    </w:p>
  </w:footnote>
  <w:footnote w:type="continuationSeparator" w:id="0">
    <w:p w14:paraId="144B5973" w14:textId="77777777" w:rsidR="00AD79C2" w:rsidRDefault="00AD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D422" w14:textId="77777777" w:rsidR="00A16FBE" w:rsidRDefault="00000000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114300" distR="114300" wp14:anchorId="2C6F57F8" wp14:editId="468E82E9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94CF2"/>
    <w:rsid w:val="003A1E68"/>
    <w:rsid w:val="003B0122"/>
    <w:rsid w:val="003B0BAE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4F5134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6D1"/>
    <w:rsid w:val="005E6BA1"/>
    <w:rsid w:val="0060779A"/>
    <w:rsid w:val="00622F13"/>
    <w:rsid w:val="00625503"/>
    <w:rsid w:val="0062662D"/>
    <w:rsid w:val="00632E78"/>
    <w:rsid w:val="006344F1"/>
    <w:rsid w:val="00637186"/>
    <w:rsid w:val="00645163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2D65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16FBE"/>
    <w:rsid w:val="00A22CDD"/>
    <w:rsid w:val="00A25AEE"/>
    <w:rsid w:val="00A31EB1"/>
    <w:rsid w:val="00A33AEA"/>
    <w:rsid w:val="00A461CD"/>
    <w:rsid w:val="00A469C5"/>
    <w:rsid w:val="00A5317D"/>
    <w:rsid w:val="00A552A2"/>
    <w:rsid w:val="00A6284E"/>
    <w:rsid w:val="00A63E81"/>
    <w:rsid w:val="00A8775A"/>
    <w:rsid w:val="00AA5998"/>
    <w:rsid w:val="00AB07E7"/>
    <w:rsid w:val="00AD1BA8"/>
    <w:rsid w:val="00AD79C2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42F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8166B"/>
  <w15:docId w15:val="{D78AF79C-DD13-49F3-A8CA-6E722E67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2258</Characters>
  <Application>Microsoft Office Word</Application>
  <DocSecurity>0</DocSecurity>
  <Lines>18</Lines>
  <Paragraphs>5</Paragraphs>
  <ScaleCrop>false</ScaleCrop>
  <Company>微软中国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Joey Cao</cp:lastModifiedBy>
  <cp:revision>5</cp:revision>
  <cp:lastPrinted>2014-02-21T05:34:00Z</cp:lastPrinted>
  <dcterms:created xsi:type="dcterms:W3CDTF">2026-05-12T09:14:00Z</dcterms:created>
  <dcterms:modified xsi:type="dcterms:W3CDTF">2026-05-13T02:24:00Z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