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B4DD2">
      <w:pPr>
        <w:adjustRightInd w:val="0"/>
        <w:snapToGrid w:val="0"/>
        <w:spacing w:line="360" w:lineRule="auto"/>
        <w:jc w:val="center"/>
        <w:rPr>
          <w:sz w:val="24"/>
        </w:rPr>
      </w:pPr>
      <w:r>
        <w:rPr>
          <w:rFonts w:hint="eastAsia"/>
          <w:sz w:val="24"/>
        </w:rPr>
        <w:t xml:space="preserve">证券代码：603363 </w:t>
      </w:r>
      <w:r>
        <w:rPr>
          <w:sz w:val="24"/>
        </w:rPr>
        <w:t xml:space="preserve">         </w:t>
      </w:r>
      <w:r>
        <w:rPr>
          <w:rFonts w:hint="eastAsia"/>
          <w:sz w:val="24"/>
        </w:rPr>
        <w:t xml:space="preserve"> 证券简称：傲农生物  </w:t>
      </w:r>
      <w:r>
        <w:rPr>
          <w:sz w:val="24"/>
        </w:rPr>
        <w:t xml:space="preserve">      </w:t>
      </w:r>
      <w:r>
        <w:rPr>
          <w:rFonts w:hint="eastAsia"/>
          <w:sz w:val="24"/>
        </w:rPr>
        <w:t xml:space="preserve">  编号：2026-001</w:t>
      </w:r>
    </w:p>
    <w:p w14:paraId="2E449666">
      <w:pPr>
        <w:spacing w:before="312" w:beforeLines="100" w:after="156" w:afterLines="50" w:line="400" w:lineRule="exact"/>
        <w:jc w:val="center"/>
        <w:rPr>
          <w:rFonts w:ascii="宋体" w:hAnsi="宋体"/>
          <w:b/>
          <w:bCs/>
          <w:iCs/>
          <w:color w:val="FF0000"/>
          <w:sz w:val="36"/>
          <w:szCs w:val="36"/>
        </w:rPr>
      </w:pPr>
      <w:r>
        <w:rPr>
          <w:rFonts w:hint="eastAsia" w:ascii="宋体" w:hAnsi="宋体"/>
          <w:b/>
          <w:bCs/>
          <w:iCs/>
          <w:color w:val="FF0000"/>
          <w:sz w:val="36"/>
          <w:szCs w:val="36"/>
        </w:rPr>
        <w:t>福建傲农生物科技集团股份有限公司</w:t>
      </w:r>
    </w:p>
    <w:p w14:paraId="384B6F3E">
      <w:pPr>
        <w:spacing w:before="156" w:beforeLines="50" w:after="312" w:afterLines="100" w:line="400" w:lineRule="exact"/>
        <w:jc w:val="center"/>
        <w:rPr>
          <w:rFonts w:ascii="宋体" w:hAnsi="宋体"/>
          <w:b/>
          <w:bCs/>
          <w:iCs/>
          <w:color w:val="FF0000"/>
          <w:sz w:val="36"/>
          <w:szCs w:val="36"/>
        </w:rPr>
      </w:pPr>
      <w:r>
        <w:rPr>
          <w:rFonts w:hint="eastAsia" w:ascii="宋体" w:hAnsi="宋体"/>
          <w:b/>
          <w:bCs/>
          <w:iCs/>
          <w:color w:val="FF0000"/>
          <w:sz w:val="36"/>
          <w:szCs w:val="36"/>
        </w:rPr>
        <w:t>投资者关系活动记录表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15A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5194C54">
            <w:pPr>
              <w:spacing w:line="420" w:lineRule="exact"/>
              <w:jc w:val="center"/>
              <w:rPr>
                <w:b/>
                <w:iCs/>
                <w:color w:val="000000"/>
                <w:sz w:val="24"/>
              </w:rPr>
            </w:pPr>
            <w:r>
              <w:rPr>
                <w:rFonts w:hAnsi="宋体"/>
                <w:b/>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vAlign w:val="center"/>
          </w:tcPr>
          <w:p w14:paraId="1E3877A3">
            <w:pPr>
              <w:spacing w:line="420" w:lineRule="exact"/>
              <w:rPr>
                <w:bCs/>
                <w:iCs/>
                <w:color w:val="000000"/>
                <w:sz w:val="24"/>
              </w:rPr>
            </w:pPr>
            <w:r>
              <w:rPr>
                <w:rFonts w:hint="eastAsia"/>
                <w:bCs/>
                <w:iCs/>
                <w:sz w:val="24"/>
              </w:rPr>
              <w:t>□</w:t>
            </w:r>
            <w:r>
              <w:rPr>
                <w:rFonts w:hAnsi="宋体"/>
                <w:kern w:val="0"/>
                <w:sz w:val="24"/>
              </w:rPr>
              <w:t>特定对象调研</w:t>
            </w:r>
            <w:r>
              <w:rPr>
                <w:kern w:val="0"/>
                <w:sz w:val="24"/>
              </w:rPr>
              <w:t xml:space="preserve">       </w:t>
            </w:r>
            <w:r>
              <w:rPr>
                <w:rFonts w:hint="eastAsia"/>
                <w:kern w:val="0"/>
                <w:sz w:val="24"/>
              </w:rPr>
              <w:t xml:space="preserve"> </w:t>
            </w:r>
            <w:r>
              <w:rPr>
                <w:rFonts w:hint="eastAsia"/>
                <w:bCs/>
                <w:iCs/>
                <w:sz w:val="24"/>
              </w:rPr>
              <w:t>□</w:t>
            </w:r>
            <w:r>
              <w:rPr>
                <w:rFonts w:hAnsi="宋体"/>
                <w:kern w:val="0"/>
                <w:sz w:val="24"/>
              </w:rPr>
              <w:t>分析师会议</w:t>
            </w:r>
          </w:p>
          <w:p w14:paraId="626DA63B">
            <w:pPr>
              <w:spacing w:line="420" w:lineRule="exact"/>
              <w:rPr>
                <w:bCs/>
                <w:iCs/>
                <w:color w:val="000000"/>
                <w:kern w:val="0"/>
                <w:sz w:val="24"/>
              </w:rPr>
            </w:pPr>
            <w:r>
              <w:rPr>
                <w:rFonts w:hint="eastAsia"/>
                <w:bCs/>
                <w:iCs/>
                <w:sz w:val="24"/>
              </w:rPr>
              <w:t>□</w:t>
            </w:r>
            <w:r>
              <w:rPr>
                <w:rFonts w:hAnsi="宋体"/>
                <w:kern w:val="0"/>
                <w:sz w:val="24"/>
              </w:rPr>
              <w:t>媒体采访</w:t>
            </w:r>
            <w:r>
              <w:rPr>
                <w:kern w:val="0"/>
                <w:sz w:val="24"/>
              </w:rPr>
              <w:t xml:space="preserve">            </w:t>
            </w:r>
            <w:r>
              <w:rPr>
                <w:rFonts w:hint="eastAsia"/>
                <w:bCs/>
                <w:iCs/>
                <w:sz w:val="24"/>
              </w:rPr>
              <w:t>☑</w:t>
            </w:r>
            <w:r>
              <w:rPr>
                <w:rFonts w:hAnsi="宋体"/>
                <w:kern w:val="0"/>
                <w:sz w:val="24"/>
              </w:rPr>
              <w:t>业绩说明会</w:t>
            </w:r>
          </w:p>
          <w:p w14:paraId="62431231">
            <w:pPr>
              <w:spacing w:line="420" w:lineRule="exact"/>
              <w:rPr>
                <w:bCs/>
                <w:iCs/>
                <w:color w:val="000000"/>
                <w:kern w:val="0"/>
                <w:sz w:val="24"/>
              </w:rPr>
            </w:pPr>
            <w:r>
              <w:rPr>
                <w:rFonts w:hint="eastAsia"/>
                <w:bCs/>
                <w:iCs/>
                <w:sz w:val="24"/>
              </w:rPr>
              <w:t>□</w:t>
            </w:r>
            <w:r>
              <w:rPr>
                <w:rFonts w:hAnsi="宋体"/>
                <w:kern w:val="0"/>
                <w:sz w:val="24"/>
              </w:rPr>
              <w:t>新闻发布会</w:t>
            </w:r>
            <w:r>
              <w:rPr>
                <w:kern w:val="0"/>
                <w:sz w:val="24"/>
              </w:rPr>
              <w:t xml:space="preserve">          </w:t>
            </w:r>
            <w:r>
              <w:rPr>
                <w:rFonts w:hint="eastAsia"/>
                <w:bCs/>
                <w:iCs/>
                <w:sz w:val="24"/>
              </w:rPr>
              <w:t>□</w:t>
            </w:r>
            <w:r>
              <w:rPr>
                <w:rFonts w:hAnsi="宋体"/>
                <w:kern w:val="0"/>
                <w:sz w:val="24"/>
              </w:rPr>
              <w:t>路演活动</w:t>
            </w:r>
          </w:p>
          <w:p w14:paraId="35DF3F3A">
            <w:pPr>
              <w:tabs>
                <w:tab w:val="left" w:pos="3045"/>
                <w:tab w:val="center" w:pos="3199"/>
              </w:tabs>
              <w:spacing w:line="420" w:lineRule="exact"/>
              <w:rPr>
                <w:bCs/>
                <w:iCs/>
                <w:color w:val="000000"/>
                <w:kern w:val="0"/>
                <w:sz w:val="24"/>
              </w:rPr>
            </w:pPr>
            <w:r>
              <w:rPr>
                <w:rFonts w:hint="eastAsia"/>
                <w:bCs/>
                <w:iCs/>
                <w:sz w:val="24"/>
              </w:rPr>
              <w:t>□</w:t>
            </w:r>
            <w:r>
              <w:rPr>
                <w:rFonts w:hAnsi="宋体"/>
                <w:kern w:val="0"/>
                <w:sz w:val="24"/>
              </w:rPr>
              <w:t>现场参观</w:t>
            </w:r>
            <w:r>
              <w:rPr>
                <w:bCs/>
                <w:iCs/>
                <w:color w:val="000000"/>
                <w:kern w:val="0"/>
                <w:sz w:val="24"/>
              </w:rPr>
              <w:tab/>
            </w:r>
          </w:p>
          <w:p w14:paraId="1D720689">
            <w:pPr>
              <w:tabs>
                <w:tab w:val="center" w:pos="3199"/>
              </w:tabs>
              <w:spacing w:line="420" w:lineRule="exact"/>
              <w:rPr>
                <w:bCs/>
                <w:iCs/>
                <w:color w:val="000000"/>
                <w:sz w:val="24"/>
              </w:rPr>
            </w:pPr>
            <w:r>
              <w:rPr>
                <w:rFonts w:hint="eastAsia"/>
                <w:bCs/>
                <w:iCs/>
                <w:sz w:val="24"/>
              </w:rPr>
              <w:t>☑</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rPr>
              <w:t>电话会议、券商策略会</w:t>
            </w:r>
            <w:r>
              <w:rPr>
                <w:rFonts w:hAnsi="宋体"/>
                <w:kern w:val="0"/>
                <w:sz w:val="24"/>
                <w:u w:val="single"/>
              </w:rPr>
              <w:t>）</w:t>
            </w:r>
          </w:p>
        </w:tc>
      </w:tr>
      <w:tr w14:paraId="5B0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908" w:type="dxa"/>
            <w:tcBorders>
              <w:top w:val="single" w:color="auto" w:sz="4" w:space="0"/>
              <w:left w:val="single" w:color="auto" w:sz="4" w:space="0"/>
              <w:right w:val="single" w:color="auto" w:sz="4" w:space="0"/>
            </w:tcBorders>
            <w:vAlign w:val="center"/>
          </w:tcPr>
          <w:p w14:paraId="7CF39DC7">
            <w:pPr>
              <w:spacing w:line="420" w:lineRule="exact"/>
              <w:jc w:val="center"/>
              <w:rPr>
                <w:b/>
                <w:iCs/>
                <w:color w:val="000000"/>
                <w:kern w:val="0"/>
                <w:sz w:val="24"/>
              </w:rPr>
            </w:pPr>
            <w:r>
              <w:rPr>
                <w:rFonts w:hAnsi="宋体"/>
                <w:b/>
                <w:iCs/>
                <w:color w:val="000000"/>
                <w:kern w:val="0"/>
                <w:sz w:val="24"/>
              </w:rPr>
              <w:t>参与单位</w:t>
            </w:r>
            <w:r>
              <w:rPr>
                <w:rFonts w:hint="eastAsia" w:hAnsi="宋体"/>
                <w:b/>
                <w:iCs/>
                <w:color w:val="000000"/>
                <w:kern w:val="0"/>
                <w:sz w:val="24"/>
              </w:rPr>
              <w:t>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49B1534C">
            <w:pPr>
              <w:widowControl/>
              <w:spacing w:before="156" w:beforeLines="50"/>
              <w:jc w:val="left"/>
              <w:textAlignment w:val="center"/>
              <w:rPr>
                <w:bCs/>
                <w:iCs/>
                <w:color w:val="000000"/>
                <w:sz w:val="24"/>
              </w:rPr>
            </w:pPr>
            <w:r>
              <w:rPr>
                <w:rFonts w:hint="eastAsia"/>
                <w:bCs/>
                <w:iCs/>
                <w:color w:val="000000"/>
                <w:sz w:val="24"/>
              </w:rPr>
              <w:t>2026年4月29日，公司组织2025年度暨2026年第一季度业绩交流电话会议，2026年5月8日，公司参加天风证券交流会，具体名单详见附件清单。</w:t>
            </w:r>
          </w:p>
          <w:p w14:paraId="36AC68BC">
            <w:pPr>
              <w:widowControl/>
              <w:jc w:val="left"/>
              <w:textAlignment w:val="center"/>
              <w:rPr>
                <w:rFonts w:ascii="宋体" w:hAnsi="宋体" w:cs="宋体"/>
                <w:color w:val="000000"/>
                <w:kern w:val="0"/>
                <w:sz w:val="24"/>
                <w:lang w:bidi="ar"/>
              </w:rPr>
            </w:pPr>
            <w:r>
              <w:rPr>
                <w:rFonts w:hint="eastAsia" w:cs="宋体"/>
                <w:color w:val="000000"/>
                <w:kern w:val="0"/>
                <w:sz w:val="24"/>
                <w:lang w:bidi="ar"/>
              </w:rPr>
              <w:t>2026年5月12日，公司通过上证路演中心组织2025年度暨2026年第一季度业绩说明会，参会人员为参与本次线上业绩说明会的投资者。</w:t>
            </w:r>
          </w:p>
        </w:tc>
      </w:tr>
      <w:tr w14:paraId="7BA4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9C7BCEA">
            <w:pPr>
              <w:spacing w:line="420" w:lineRule="exact"/>
              <w:jc w:val="center"/>
              <w:rPr>
                <w:b/>
                <w:iCs/>
                <w:color w:val="000000"/>
                <w:kern w:val="0"/>
                <w:sz w:val="24"/>
              </w:rPr>
            </w:pPr>
            <w:r>
              <w:rPr>
                <w:rFonts w:hAnsi="宋体"/>
                <w:b/>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vAlign w:val="center"/>
          </w:tcPr>
          <w:p w14:paraId="288E1D40">
            <w:pPr>
              <w:spacing w:line="420" w:lineRule="exact"/>
              <w:rPr>
                <w:bCs/>
                <w:iCs/>
                <w:color w:val="000000"/>
                <w:sz w:val="24"/>
              </w:rPr>
            </w:pPr>
            <w:r>
              <w:rPr>
                <w:rFonts w:hint="eastAsia"/>
                <w:bCs/>
                <w:iCs/>
                <w:color w:val="000000"/>
                <w:sz w:val="24"/>
              </w:rPr>
              <w:t>2026年4月29日、2026年5月8日、2026年5月12日</w:t>
            </w:r>
          </w:p>
        </w:tc>
      </w:tr>
      <w:tr w14:paraId="492C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16F5D28">
            <w:pPr>
              <w:spacing w:line="420" w:lineRule="exact"/>
              <w:jc w:val="center"/>
              <w:rPr>
                <w:b/>
                <w:iCs/>
                <w:color w:val="000000"/>
                <w:kern w:val="0"/>
                <w:sz w:val="24"/>
              </w:rPr>
            </w:pPr>
            <w:r>
              <w:rPr>
                <w:rFonts w:hAnsi="宋体"/>
                <w:b/>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vAlign w:val="center"/>
          </w:tcPr>
          <w:p w14:paraId="6D61D3CC">
            <w:pPr>
              <w:spacing w:line="420" w:lineRule="exact"/>
              <w:rPr>
                <w:bCs/>
                <w:iCs/>
                <w:color w:val="000000"/>
                <w:sz w:val="24"/>
              </w:rPr>
            </w:pPr>
            <w:r>
              <w:rPr>
                <w:rFonts w:hint="eastAsia"/>
                <w:bCs/>
                <w:iCs/>
                <w:color w:val="000000"/>
                <w:sz w:val="24"/>
              </w:rPr>
              <w:t>电话会议、深圳、上证路演中心</w:t>
            </w:r>
          </w:p>
        </w:tc>
      </w:tr>
      <w:tr w14:paraId="20D6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8128A6">
            <w:pPr>
              <w:spacing w:line="420" w:lineRule="exact"/>
              <w:jc w:val="center"/>
              <w:rPr>
                <w:b/>
                <w:iCs/>
                <w:color w:val="000000"/>
                <w:kern w:val="0"/>
                <w:sz w:val="24"/>
              </w:rPr>
            </w:pPr>
            <w:r>
              <w:rPr>
                <w:rFonts w:hAnsi="宋体"/>
                <w:b/>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176E829">
            <w:pPr>
              <w:spacing w:line="420" w:lineRule="exact"/>
              <w:rPr>
                <w:bCs/>
                <w:sz w:val="24"/>
              </w:rPr>
            </w:pPr>
            <w:r>
              <w:rPr>
                <w:rFonts w:hint="eastAsia"/>
                <w:bCs/>
                <w:sz w:val="24"/>
              </w:rPr>
              <w:t>董事长 苏明城</w:t>
            </w:r>
          </w:p>
          <w:p w14:paraId="33AE259B">
            <w:pPr>
              <w:spacing w:line="420" w:lineRule="exact"/>
              <w:rPr>
                <w:bCs/>
                <w:sz w:val="24"/>
              </w:rPr>
            </w:pPr>
            <w:r>
              <w:rPr>
                <w:rFonts w:hint="eastAsia"/>
                <w:bCs/>
                <w:sz w:val="24"/>
              </w:rPr>
              <w:t>副董事长、总经理 吴有林</w:t>
            </w:r>
          </w:p>
          <w:p w14:paraId="4B165324">
            <w:pPr>
              <w:spacing w:line="420" w:lineRule="exact"/>
              <w:rPr>
                <w:bCs/>
                <w:sz w:val="24"/>
              </w:rPr>
            </w:pPr>
            <w:r>
              <w:rPr>
                <w:rFonts w:hint="eastAsia"/>
                <w:bCs/>
                <w:sz w:val="24"/>
              </w:rPr>
              <w:t>独立董事 游相华、郑鲁英</w:t>
            </w:r>
          </w:p>
          <w:p w14:paraId="6209E9D5">
            <w:pPr>
              <w:spacing w:line="420" w:lineRule="exact"/>
              <w:rPr>
                <w:bCs/>
                <w:sz w:val="24"/>
              </w:rPr>
            </w:pPr>
            <w:r>
              <w:rPr>
                <w:rFonts w:hint="eastAsia"/>
                <w:bCs/>
                <w:sz w:val="24"/>
              </w:rPr>
              <w:t>副总经理、财务总监 杨州</w:t>
            </w:r>
          </w:p>
          <w:p w14:paraId="618A7A96">
            <w:pPr>
              <w:spacing w:line="420" w:lineRule="exact"/>
              <w:rPr>
                <w:bCs/>
                <w:sz w:val="24"/>
              </w:rPr>
            </w:pPr>
            <w:r>
              <w:rPr>
                <w:bCs/>
                <w:sz w:val="24"/>
              </w:rPr>
              <w:t>副总经理、董事会秘书</w:t>
            </w:r>
            <w:r>
              <w:rPr>
                <w:rFonts w:hint="eastAsia"/>
                <w:bCs/>
                <w:sz w:val="24"/>
              </w:rPr>
              <w:t xml:space="preserve"> </w:t>
            </w:r>
            <w:r>
              <w:rPr>
                <w:bCs/>
                <w:sz w:val="24"/>
              </w:rPr>
              <w:t>彭江</w:t>
            </w:r>
          </w:p>
          <w:p w14:paraId="3FFD9349">
            <w:pPr>
              <w:spacing w:line="420" w:lineRule="exact"/>
              <w:rPr>
                <w:bCs/>
                <w:sz w:val="24"/>
              </w:rPr>
            </w:pPr>
            <w:r>
              <w:rPr>
                <w:rFonts w:hint="eastAsia"/>
                <w:bCs/>
                <w:sz w:val="24"/>
              </w:rPr>
              <w:t>证券事务代表 李舟</w:t>
            </w:r>
          </w:p>
        </w:tc>
      </w:tr>
      <w:tr w14:paraId="6CC4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BA8897F">
            <w:pPr>
              <w:spacing w:line="420" w:lineRule="exact"/>
              <w:jc w:val="center"/>
              <w:rPr>
                <w:b/>
                <w:iCs/>
                <w:color w:val="000000"/>
                <w:sz w:val="24"/>
              </w:rPr>
            </w:pPr>
            <w:r>
              <w:rPr>
                <w:b/>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tcPr>
          <w:p w14:paraId="71065DDA">
            <w:pPr>
              <w:pStyle w:val="10"/>
              <w:spacing w:line="460" w:lineRule="exact"/>
              <w:ind w:firstLine="489"/>
              <w:rPr>
                <w:rFonts w:ascii="Times New Roman" w:hAnsi="Times New Roman"/>
                <w:b/>
                <w:sz w:val="24"/>
                <w:szCs w:val="24"/>
              </w:rPr>
            </w:pPr>
            <w:r>
              <w:rPr>
                <w:rFonts w:hint="eastAsia" w:ascii="Times New Roman" w:hAnsi="Times New Roman"/>
                <w:b/>
                <w:sz w:val="24"/>
                <w:szCs w:val="24"/>
              </w:rPr>
              <w:t>一、财务总监介绍公司财务数据和经营情况</w:t>
            </w:r>
          </w:p>
          <w:p w14:paraId="3779C435">
            <w:pPr>
              <w:pStyle w:val="10"/>
              <w:spacing w:line="460" w:lineRule="exact"/>
              <w:ind w:firstLine="489"/>
              <w:rPr>
                <w:rFonts w:ascii="Times New Roman" w:hAnsi="Times New Roman"/>
                <w:b/>
                <w:sz w:val="24"/>
                <w:szCs w:val="24"/>
              </w:rPr>
            </w:pPr>
            <w:r>
              <w:rPr>
                <w:rFonts w:hint="eastAsia" w:ascii="Times New Roman" w:hAnsi="Times New Roman"/>
                <w:b/>
                <w:sz w:val="24"/>
                <w:szCs w:val="24"/>
              </w:rPr>
              <w:t>（一）财务数据</w:t>
            </w:r>
          </w:p>
          <w:p w14:paraId="6BDE9F8E">
            <w:pPr>
              <w:pStyle w:val="10"/>
              <w:spacing w:line="460" w:lineRule="exact"/>
              <w:ind w:left="-2" w:leftChars="-1" w:firstLine="480"/>
              <w:rPr>
                <w:rFonts w:ascii="Times New Roman" w:hAnsi="Times New Roman"/>
                <w:sz w:val="24"/>
                <w:szCs w:val="24"/>
              </w:rPr>
            </w:pPr>
            <w:r>
              <w:rPr>
                <w:rFonts w:ascii="Times New Roman" w:hAnsi="Times New Roman"/>
                <w:sz w:val="24"/>
                <w:szCs w:val="24"/>
              </w:rPr>
              <w:t>2025年度：饲料外销185万吨，收入58.44亿元，毛利率5.55%；</w:t>
            </w:r>
            <w:r>
              <w:rPr>
                <w:rFonts w:hint="eastAsia" w:ascii="Times New Roman" w:hAnsi="Times New Roman"/>
                <w:sz w:val="24"/>
                <w:szCs w:val="24"/>
              </w:rPr>
              <w:t>生猪销量</w:t>
            </w:r>
            <w:r>
              <w:rPr>
                <w:rFonts w:ascii="Times New Roman" w:hAnsi="Times New Roman"/>
                <w:sz w:val="24"/>
                <w:szCs w:val="24"/>
              </w:rPr>
              <w:t>175万头，收入14.87亿元，毛利率7.09%；屠宰</w:t>
            </w:r>
            <w:r>
              <w:rPr>
                <w:rFonts w:hint="eastAsia" w:ascii="Times New Roman" w:hAnsi="Times New Roman"/>
                <w:sz w:val="24"/>
                <w:szCs w:val="24"/>
              </w:rPr>
              <w:t>量</w:t>
            </w:r>
            <w:r>
              <w:rPr>
                <w:rFonts w:ascii="Times New Roman" w:hAnsi="Times New Roman"/>
                <w:sz w:val="24"/>
                <w:szCs w:val="24"/>
              </w:rPr>
              <w:t>116万头，</w:t>
            </w:r>
            <w:r>
              <w:rPr>
                <w:rFonts w:hint="eastAsia" w:ascii="Times New Roman" w:hAnsi="Times New Roman"/>
                <w:sz w:val="24"/>
                <w:szCs w:val="24"/>
              </w:rPr>
              <w:t>屠宰与肉制品加工</w:t>
            </w:r>
            <w:r>
              <w:rPr>
                <w:rFonts w:ascii="Times New Roman" w:hAnsi="Times New Roman"/>
                <w:sz w:val="24"/>
                <w:szCs w:val="24"/>
              </w:rPr>
              <w:t>收入10.82亿元，毛利率10.2%；整体主营业务收入84.47亿元，盈利</w:t>
            </w:r>
            <w:r>
              <w:rPr>
                <w:rFonts w:hint="eastAsia" w:ascii="Times New Roman" w:hAnsi="Times New Roman"/>
                <w:sz w:val="24"/>
                <w:szCs w:val="24"/>
                <w:lang w:val="en-US" w:eastAsia="zh-CN"/>
              </w:rPr>
              <w:t>8,941</w:t>
            </w:r>
            <w:r>
              <w:rPr>
                <w:rFonts w:ascii="Times New Roman" w:hAnsi="Times New Roman"/>
                <w:sz w:val="24"/>
                <w:szCs w:val="24"/>
              </w:rPr>
              <w:t>万元；扣非后整体亏损4.7</w:t>
            </w:r>
            <w:r>
              <w:rPr>
                <w:rFonts w:hint="eastAsia" w:ascii="Times New Roman" w:hAnsi="Times New Roman"/>
                <w:sz w:val="24"/>
                <w:szCs w:val="24"/>
                <w:lang w:val="en-US" w:eastAsia="zh-CN"/>
              </w:rPr>
              <w:t>4</w:t>
            </w:r>
            <w:r>
              <w:rPr>
                <w:rFonts w:ascii="Times New Roman" w:hAnsi="Times New Roman"/>
                <w:sz w:val="24"/>
                <w:szCs w:val="24"/>
              </w:rPr>
              <w:t>亿元</w:t>
            </w:r>
            <w:r>
              <w:rPr>
                <w:rFonts w:hint="eastAsia" w:ascii="Times New Roman" w:hAnsi="Times New Roman"/>
                <w:sz w:val="24"/>
                <w:szCs w:val="24"/>
              </w:rPr>
              <w:t>。</w:t>
            </w:r>
          </w:p>
          <w:p w14:paraId="15AA344E">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（二）各业务板块经营情况</w:t>
            </w:r>
          </w:p>
          <w:p w14:paraId="72BC4A57">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1、饲料业务</w:t>
            </w:r>
          </w:p>
          <w:p w14:paraId="20A54856">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2025年饲料加工量192万吨，外销量185万吨；2026年一季度饲料加工量53.41万吨，饲料外销量48.44万吨。</w:t>
            </w:r>
          </w:p>
          <w:p w14:paraId="6D4F61EE">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2、养猪业务</w:t>
            </w:r>
          </w:p>
          <w:p w14:paraId="3E52A907">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2025年生猪出栏175万头，2026年一季度出栏50万头，仔猪占比61.68%。截至2026年一季度末，能繁母猪存栏10.13万头，后备母猪存栏3.07万头。</w:t>
            </w:r>
          </w:p>
          <w:p w14:paraId="0C491A4D">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3、屠宰与食品深加工业务</w:t>
            </w:r>
          </w:p>
          <w:p w14:paraId="750DB7C9">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2025年屠宰量116.2万头，2026年1-3月屠宰量40.55万头。2025年肉制品收入1.9</w:t>
            </w:r>
            <w:r>
              <w:rPr>
                <w:rFonts w:hint="eastAsia" w:ascii="Times New Roman" w:hAnsi="Times New Roman"/>
                <w:sz w:val="24"/>
                <w:szCs w:val="24"/>
                <w:lang w:val="en-US" w:eastAsia="zh-CN"/>
              </w:rPr>
              <w:t>6</w:t>
            </w:r>
            <w:r>
              <w:rPr>
                <w:rFonts w:hint="eastAsia" w:ascii="Times New Roman" w:hAnsi="Times New Roman"/>
                <w:sz w:val="24"/>
                <w:szCs w:val="24"/>
              </w:rPr>
              <w:t>亿元，2026年1-3月收入5,011万元。</w:t>
            </w:r>
          </w:p>
          <w:p w14:paraId="47871649">
            <w:pPr>
              <w:pStyle w:val="10"/>
              <w:spacing w:line="460" w:lineRule="exact"/>
              <w:ind w:left="-2" w:leftChars="-1" w:firstLine="489" w:firstLineChars="0"/>
              <w:rPr>
                <w:rFonts w:ascii="Times New Roman" w:hAnsi="Times New Roman"/>
                <w:b/>
                <w:bCs/>
                <w:sz w:val="24"/>
                <w:szCs w:val="24"/>
              </w:rPr>
            </w:pPr>
            <w:r>
              <w:rPr>
                <w:rFonts w:hint="eastAsia" w:ascii="Times New Roman" w:hAnsi="Times New Roman"/>
                <w:b/>
                <w:bCs/>
                <w:sz w:val="24"/>
                <w:szCs w:val="24"/>
              </w:rPr>
              <w:t>二、总经理介绍公司2026年经营规划</w:t>
            </w:r>
          </w:p>
          <w:p w14:paraId="4668C63C">
            <w:pPr>
              <w:pStyle w:val="10"/>
              <w:numPr>
                <w:ilvl w:val="255"/>
                <w:numId w:val="0"/>
              </w:numPr>
              <w:spacing w:line="460" w:lineRule="exact"/>
              <w:ind w:left="-2" w:leftChars="-1" w:firstLine="480"/>
              <w:rPr>
                <w:rFonts w:ascii="Times New Roman" w:hAnsi="Times New Roman"/>
                <w:sz w:val="24"/>
                <w:szCs w:val="24"/>
              </w:rPr>
            </w:pPr>
            <w:r>
              <w:rPr>
                <w:rFonts w:hint="eastAsia" w:ascii="Times New Roman" w:hAnsi="Times New Roman"/>
                <w:sz w:val="24"/>
                <w:szCs w:val="24"/>
              </w:rPr>
              <w:t>2026年公司经营工作核心目标是继续坚持“突破饲料，优</w:t>
            </w:r>
            <w:bookmarkStart w:id="0" w:name="_GoBack"/>
            <w:bookmarkEnd w:id="0"/>
            <w:r>
              <w:rPr>
                <w:rFonts w:hint="eastAsia" w:ascii="Times New Roman" w:hAnsi="Times New Roman"/>
                <w:sz w:val="24"/>
                <w:szCs w:val="24"/>
              </w:rPr>
              <w:t>化养猪，发展食品”的经营思路，做精饲料，做优养猪，做大食品，稳经营、强管理、降成本、防风险、促合规、保安全，实现公司整体经营高质量平稳发展。</w:t>
            </w:r>
          </w:p>
          <w:p w14:paraId="16B147C6">
            <w:pPr>
              <w:pStyle w:val="10"/>
              <w:numPr>
                <w:ilvl w:val="255"/>
                <w:numId w:val="0"/>
              </w:numPr>
              <w:spacing w:line="460" w:lineRule="exact"/>
              <w:ind w:left="-2" w:leftChars="-1" w:firstLine="480"/>
              <w:rPr>
                <w:rFonts w:ascii="Times New Roman" w:hAnsi="Times New Roman"/>
                <w:sz w:val="24"/>
                <w:szCs w:val="24"/>
              </w:rPr>
            </w:pPr>
            <w:r>
              <w:rPr>
                <w:rFonts w:hint="eastAsia" w:ascii="Times New Roman" w:hAnsi="Times New Roman"/>
                <w:sz w:val="24"/>
                <w:szCs w:val="24"/>
              </w:rPr>
              <w:t>人员队伍方面，截至2026年一季度末，公司员工总数约5,100人，重整完成一年多以来，员工数量保持稳定，业务稳步恢复，人员效率不断提升。后续将持续推进干部队伍向年轻化、专业化调整，并加强廉洁自律建设。</w:t>
            </w:r>
          </w:p>
          <w:p w14:paraId="1876F716">
            <w:pPr>
              <w:pStyle w:val="10"/>
              <w:numPr>
                <w:ilvl w:val="255"/>
                <w:numId w:val="0"/>
              </w:numPr>
              <w:spacing w:line="460" w:lineRule="exact"/>
              <w:ind w:left="-2" w:leftChars="-1" w:firstLine="480"/>
              <w:rPr>
                <w:rFonts w:ascii="Times New Roman" w:hAnsi="Times New Roman"/>
                <w:sz w:val="24"/>
                <w:szCs w:val="24"/>
              </w:rPr>
            </w:pPr>
            <w:r>
              <w:rPr>
                <w:rFonts w:hint="eastAsia" w:ascii="Times New Roman" w:hAnsi="Times New Roman"/>
                <w:sz w:val="24"/>
                <w:szCs w:val="24"/>
              </w:rPr>
              <w:t>产业方面，饲料业务稳步恢复，提升销量的同时，更注重经营绩效的提升，通过饲料产能和布局优化，采购端优化、产品结构化调整等多方面举措提升饲料毛利率；养猪板块，聚焦福建、江西两地，提升经营管理水平，优化种猪结构，同时也根据公司资源匹配情况与市场行情，逐步复产，适度提升规模；屠宰与食品板块，屠宰主要聚焦福建，今年将继续保持较高增速，肉制品加工作为下一步工作的重点，积极拓展B端客户，加大投入提升规模。2026年度，公司将力争完成饲料生产量270万吨、生猪生产量280万头、生猪出栏量240万头、在营屠宰厂屠宰量250万头，营业收入115亿元（其中，饲料75亿元、养猪20亿元、屠宰与食品20亿元），断奶成本270元/头，育肥成本12.25元/公斤，PSY28.5头，各项主要经营指标保持良好增长。</w:t>
            </w:r>
          </w:p>
          <w:p w14:paraId="7CD9310E">
            <w:pPr>
              <w:pStyle w:val="10"/>
              <w:numPr>
                <w:ilvl w:val="255"/>
                <w:numId w:val="0"/>
              </w:numPr>
              <w:spacing w:line="460" w:lineRule="exact"/>
              <w:ind w:firstLine="480" w:firstLineChars="200"/>
              <w:rPr>
                <w:rFonts w:ascii="Times New Roman" w:hAnsi="Times New Roman"/>
                <w:b/>
                <w:bCs/>
                <w:sz w:val="24"/>
                <w:szCs w:val="24"/>
              </w:rPr>
            </w:pPr>
            <w:r>
              <w:rPr>
                <w:rFonts w:hint="eastAsia" w:ascii="Times New Roman" w:hAnsi="Times New Roman"/>
                <w:sz w:val="24"/>
                <w:szCs w:val="24"/>
              </w:rPr>
              <w:t>公司治理方面，全面优化议事规则与管理架构，在财务、人力资源、法务风控、应收账款、审计监察及投资管理等关键环节强化管控，公司治理持续完善，管理更加科学、合理。</w:t>
            </w:r>
          </w:p>
          <w:p w14:paraId="59ADAE95">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三、问答环节</w:t>
            </w:r>
          </w:p>
          <w:p w14:paraId="427F1187">
            <w:pPr>
              <w:pStyle w:val="10"/>
              <w:spacing w:line="460" w:lineRule="exact"/>
              <w:ind w:firstLine="489"/>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公司被立案调查的具体情况</w:t>
            </w:r>
            <w:r>
              <w:rPr>
                <w:rFonts w:ascii="Times New Roman" w:hAnsi="Times New Roman"/>
                <w:b/>
                <w:sz w:val="24"/>
                <w:szCs w:val="24"/>
              </w:rPr>
              <w:t>？</w:t>
            </w:r>
          </w:p>
          <w:p w14:paraId="7DB112E2">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因涉嫌信息披露违法违规被立案调查，上述立案调查事项仍在调查过程中，公司将积极配合证监会各项工作，持续关注事项进展，严格按照法律法规及监管要求履行信息披露义务，截至目前，公司尚未收到监管部门就本次立案调查出具的任何结论性意见或相关决定，公司生产经营情况一切正常，上述事项不会对公司正常生产经营活动产生重大不利影响。</w:t>
            </w:r>
          </w:p>
          <w:p w14:paraId="192C58BA">
            <w:pPr>
              <w:pStyle w:val="10"/>
              <w:spacing w:line="460" w:lineRule="exact"/>
              <w:ind w:left="-2" w:leftChars="-1" w:firstLine="480"/>
              <w:rPr>
                <w:rFonts w:ascii="Times New Roman" w:hAnsi="Times New Roman"/>
                <w:sz w:val="24"/>
                <w:szCs w:val="24"/>
              </w:rPr>
            </w:pPr>
          </w:p>
          <w:p w14:paraId="47F2FCB0">
            <w:pPr>
              <w:pStyle w:val="10"/>
              <w:spacing w:line="460" w:lineRule="exact"/>
              <w:ind w:left="-2" w:leftChars="-1" w:firstLine="489"/>
              <w:rPr>
                <w:rFonts w:ascii="Times New Roman" w:hAnsi="Times New Roman"/>
                <w:b/>
                <w:bCs/>
                <w:sz w:val="24"/>
                <w:szCs w:val="24"/>
              </w:rPr>
            </w:pPr>
            <w:r>
              <w:rPr>
                <w:rFonts w:hint="eastAsia" w:ascii="Times New Roman" w:hAnsi="Times New Roman"/>
                <w:b/>
                <w:bCs/>
                <w:sz w:val="24"/>
                <w:szCs w:val="24"/>
              </w:rPr>
              <w:t>2、公司近期养殖成本？</w:t>
            </w:r>
          </w:p>
          <w:p w14:paraId="05C62FBE">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答：公司2026年一季度育肥完全成本为12.83元/公斤。</w:t>
            </w:r>
          </w:p>
          <w:p w14:paraId="5C56B1E0">
            <w:pPr>
              <w:pStyle w:val="10"/>
              <w:spacing w:line="460" w:lineRule="exact"/>
              <w:ind w:left="-2" w:leftChars="-1" w:firstLine="480"/>
              <w:rPr>
                <w:rFonts w:ascii="Times New Roman" w:hAnsi="Times New Roman"/>
                <w:sz w:val="24"/>
                <w:szCs w:val="24"/>
              </w:rPr>
            </w:pPr>
          </w:p>
          <w:p w14:paraId="2DC009F9">
            <w:pPr>
              <w:pStyle w:val="10"/>
              <w:spacing w:line="460" w:lineRule="exact"/>
              <w:ind w:firstLine="489"/>
              <w:rPr>
                <w:rFonts w:ascii="Times New Roman" w:hAnsi="Times New Roman"/>
                <w:b/>
                <w:sz w:val="24"/>
                <w:szCs w:val="24"/>
              </w:rPr>
            </w:pPr>
            <w:r>
              <w:rPr>
                <w:rFonts w:hint="eastAsia" w:ascii="Times New Roman" w:hAnsi="Times New Roman"/>
                <w:b/>
                <w:sz w:val="24"/>
                <w:szCs w:val="24"/>
              </w:rPr>
              <w:t>3、公司目前丹系品种母猪占比？</w:t>
            </w:r>
          </w:p>
          <w:p w14:paraId="72A25415">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答：公司按照育种规划和丹系推进战略，加快高繁快长猪群的更新与扩群。截至目前，丹系及托佩克配套系的后备与基础母猪合计占能繁母猪总数的34%，后续丹系群体占比还将稳步提升。</w:t>
            </w:r>
          </w:p>
          <w:p w14:paraId="167455D3">
            <w:pPr>
              <w:pStyle w:val="10"/>
              <w:spacing w:line="460" w:lineRule="exact"/>
              <w:ind w:left="-2" w:leftChars="-1" w:firstLine="480"/>
              <w:rPr>
                <w:rFonts w:ascii="Times New Roman" w:hAnsi="Times New Roman"/>
                <w:sz w:val="24"/>
                <w:szCs w:val="24"/>
              </w:rPr>
            </w:pPr>
          </w:p>
          <w:p w14:paraId="07BEFA04">
            <w:pPr>
              <w:pStyle w:val="10"/>
              <w:spacing w:line="460" w:lineRule="exact"/>
              <w:ind w:firstLine="489"/>
              <w:rPr>
                <w:rFonts w:ascii="Times New Roman" w:hAnsi="Times New Roman"/>
                <w:b/>
                <w:sz w:val="24"/>
                <w:szCs w:val="24"/>
              </w:rPr>
            </w:pPr>
            <w:r>
              <w:rPr>
                <w:rFonts w:hint="eastAsia" w:ascii="Times New Roman" w:hAnsi="Times New Roman"/>
                <w:b/>
                <w:sz w:val="24"/>
                <w:szCs w:val="24"/>
              </w:rPr>
              <w:t>4</w:t>
            </w:r>
            <w:r>
              <w:rPr>
                <w:rFonts w:ascii="Times New Roman" w:hAnsi="Times New Roman"/>
                <w:b/>
                <w:sz w:val="24"/>
                <w:szCs w:val="24"/>
              </w:rPr>
              <w:t>、</w:t>
            </w:r>
            <w:r>
              <w:rPr>
                <w:rFonts w:hint="eastAsia" w:ascii="Times New Roman" w:hAnsi="Times New Roman"/>
                <w:b/>
                <w:sz w:val="24"/>
                <w:szCs w:val="24"/>
              </w:rPr>
              <w:t>口蹄疫对公司生产的影响</w:t>
            </w:r>
            <w:r>
              <w:rPr>
                <w:rFonts w:ascii="Times New Roman" w:hAnsi="Times New Roman"/>
                <w:b/>
                <w:sz w:val="24"/>
                <w:szCs w:val="24"/>
              </w:rPr>
              <w:t>？</w:t>
            </w:r>
          </w:p>
          <w:p w14:paraId="1DAD6743">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答：公司养猪事业部密切关注疫情发展动态，所有猪场都在开展疫情检测，截止今天没有监测到疫情风险。集团所有母猪场已经做好疫苗的储备，近期有序开展口蹄疫疫苗紧急免疫</w:t>
            </w:r>
            <w:r>
              <w:rPr>
                <w:rFonts w:ascii="Times New Roman" w:hAnsi="Times New Roman"/>
                <w:sz w:val="24"/>
                <w:szCs w:val="24"/>
              </w:rPr>
              <w:t>。</w:t>
            </w:r>
          </w:p>
          <w:p w14:paraId="6EC006A4">
            <w:pPr>
              <w:pStyle w:val="10"/>
              <w:spacing w:line="460" w:lineRule="exact"/>
              <w:ind w:left="-2" w:leftChars="-1" w:firstLine="480"/>
              <w:rPr>
                <w:rFonts w:ascii="Times New Roman" w:hAnsi="Times New Roman"/>
                <w:sz w:val="24"/>
                <w:szCs w:val="24"/>
              </w:rPr>
            </w:pPr>
          </w:p>
          <w:p w14:paraId="4EA6A868">
            <w:pPr>
              <w:pStyle w:val="10"/>
              <w:spacing w:line="460" w:lineRule="exact"/>
              <w:ind w:firstLine="489"/>
              <w:rPr>
                <w:rFonts w:ascii="Times New Roman" w:hAnsi="Times New Roman"/>
                <w:b/>
                <w:sz w:val="24"/>
                <w:szCs w:val="24"/>
              </w:rPr>
            </w:pPr>
            <w:r>
              <w:rPr>
                <w:rFonts w:hint="eastAsia" w:ascii="Times New Roman" w:hAnsi="Times New Roman"/>
                <w:b/>
                <w:sz w:val="24"/>
                <w:szCs w:val="24"/>
              </w:rPr>
              <w:t>5、公司复产节奏以及对当下行情变化的考虑？</w:t>
            </w:r>
          </w:p>
          <w:p w14:paraId="1D5EE458">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答：行情核心看头部企业去化情况及市场传导，母猪场按公司节奏稳步复产，资金占用不大；育肥端，公司根据自身资源状况，根据仔猪价格和生猪期货价格灵活调整育肥节奏。</w:t>
            </w:r>
          </w:p>
          <w:p w14:paraId="758ED73D">
            <w:pPr>
              <w:pStyle w:val="10"/>
              <w:numPr>
                <w:ilvl w:val="255"/>
                <w:numId w:val="0"/>
              </w:numPr>
              <w:spacing w:line="460" w:lineRule="exact"/>
              <w:ind w:left="418" w:leftChars="199"/>
              <w:rPr>
                <w:rFonts w:ascii="Times New Roman" w:hAnsi="Times New Roman"/>
                <w:sz w:val="24"/>
                <w:szCs w:val="24"/>
              </w:rPr>
            </w:pPr>
          </w:p>
          <w:p w14:paraId="7AB02B28">
            <w:pPr>
              <w:pStyle w:val="10"/>
              <w:spacing w:line="460" w:lineRule="exact"/>
              <w:ind w:firstLine="489"/>
              <w:rPr>
                <w:rFonts w:ascii="Times New Roman" w:hAnsi="Times New Roman"/>
                <w:b/>
                <w:sz w:val="24"/>
                <w:szCs w:val="24"/>
              </w:rPr>
            </w:pPr>
            <w:r>
              <w:rPr>
                <w:rFonts w:hint="eastAsia" w:ascii="Times New Roman" w:hAnsi="Times New Roman"/>
                <w:b/>
                <w:sz w:val="24"/>
                <w:szCs w:val="24"/>
              </w:rPr>
              <w:t>6、目前饲料产能以及未来产能规划？</w:t>
            </w:r>
          </w:p>
          <w:p w14:paraId="59D8FCD6">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答：公司重整后饲料板块剥离了部分低产低效产能，现有产能可以满足外销及内供需求，近年无大规模新建产能规划，主要重心在于提升销量、提升产能利用率。</w:t>
            </w:r>
          </w:p>
          <w:p w14:paraId="699DEF38">
            <w:pPr>
              <w:pStyle w:val="10"/>
              <w:spacing w:line="460" w:lineRule="exact"/>
              <w:ind w:left="-2" w:leftChars="-1" w:firstLine="480"/>
              <w:rPr>
                <w:rFonts w:ascii="Times New Roman" w:hAnsi="Times New Roman"/>
                <w:sz w:val="24"/>
                <w:szCs w:val="24"/>
              </w:rPr>
            </w:pPr>
          </w:p>
          <w:p w14:paraId="7ACCFD16">
            <w:pPr>
              <w:pStyle w:val="10"/>
              <w:spacing w:line="460" w:lineRule="exact"/>
              <w:ind w:firstLine="489"/>
              <w:rPr>
                <w:rFonts w:ascii="Times New Roman" w:hAnsi="Times New Roman"/>
                <w:b/>
                <w:sz w:val="24"/>
                <w:szCs w:val="24"/>
              </w:rPr>
            </w:pPr>
            <w:r>
              <w:rPr>
                <w:rFonts w:hint="eastAsia" w:ascii="Times New Roman" w:hAnsi="Times New Roman"/>
                <w:b/>
                <w:sz w:val="24"/>
                <w:szCs w:val="24"/>
              </w:rPr>
              <w:t>7、食品业务未来规划？</w:t>
            </w:r>
          </w:p>
          <w:p w14:paraId="3558F3D5">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答：食品业务拆分为屠宰和食品加工两个板块。其中，屠宰现阶段聚焦福建，深耕热鲜市场，公司已有一套成熟的运营模式，随着新项目陆续投产，屠宰量将继续保持较快增速；</w:t>
            </w:r>
          </w:p>
          <w:p w14:paraId="5521FCD1">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对于作为利润和附加值增长点的肉制品业务，公司将由生产导向向客户解决方案导向转型，致力服务大B端，将与知名连锁品牌建立定制化合作，需要构建更系统完善的产品管理体系，提升研发与生产的敏捷性以应对定制化需求，初步建立快速响应的研发与生产能力。公司将继续探索强化市场渗透与客户链接的供应链服务平台，增加活跃客户规模，提升客户粘性，积累终端数据，赋能精准服务。</w:t>
            </w:r>
          </w:p>
          <w:p w14:paraId="3D3859B8">
            <w:pPr>
              <w:pStyle w:val="10"/>
              <w:numPr>
                <w:ilvl w:val="255"/>
                <w:numId w:val="0"/>
              </w:numPr>
              <w:spacing w:line="460" w:lineRule="exact"/>
              <w:ind w:left="418" w:leftChars="199"/>
              <w:rPr>
                <w:rFonts w:ascii="Times New Roman" w:hAnsi="Times New Roman"/>
                <w:sz w:val="24"/>
                <w:szCs w:val="24"/>
              </w:rPr>
            </w:pPr>
          </w:p>
          <w:p w14:paraId="50FF0D18">
            <w:pPr>
              <w:pStyle w:val="10"/>
              <w:spacing w:line="460" w:lineRule="exact"/>
              <w:ind w:firstLine="489"/>
              <w:rPr>
                <w:rFonts w:ascii="Times New Roman" w:hAnsi="Times New Roman"/>
                <w:b/>
                <w:sz w:val="24"/>
                <w:szCs w:val="24"/>
              </w:rPr>
            </w:pPr>
            <w:r>
              <w:rPr>
                <w:rFonts w:hint="eastAsia" w:ascii="Times New Roman" w:hAnsi="Times New Roman"/>
                <w:b/>
                <w:sz w:val="24"/>
                <w:szCs w:val="24"/>
              </w:rPr>
              <w:t>8、今年的出栏结构规划？</w:t>
            </w:r>
          </w:p>
          <w:p w14:paraId="61EAE15E">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答：公司根据生猪价格的市场周期性波动，动态调整放养投苗数量和育肥出栏节奏，采取灵活育肥策略。</w:t>
            </w:r>
          </w:p>
          <w:p w14:paraId="65C0C73C">
            <w:pPr>
              <w:pStyle w:val="10"/>
              <w:spacing w:line="460" w:lineRule="exact"/>
              <w:ind w:left="-2" w:leftChars="-1" w:firstLine="480"/>
              <w:rPr>
                <w:rFonts w:ascii="Times New Roman" w:hAnsi="Times New Roman"/>
                <w:sz w:val="24"/>
                <w:szCs w:val="24"/>
              </w:rPr>
            </w:pPr>
          </w:p>
          <w:p w14:paraId="4B30C0F2">
            <w:pPr>
              <w:pStyle w:val="10"/>
              <w:spacing w:line="460" w:lineRule="exact"/>
              <w:ind w:left="-2" w:leftChars="-1" w:firstLine="480" w:firstLineChars="0"/>
              <w:rPr>
                <w:rFonts w:ascii="Times New Roman" w:hAnsi="Times New Roman"/>
                <w:b/>
                <w:bCs/>
                <w:sz w:val="24"/>
                <w:szCs w:val="24"/>
              </w:rPr>
            </w:pPr>
            <w:r>
              <w:rPr>
                <w:rFonts w:hint="eastAsia" w:ascii="Times New Roman" w:hAnsi="Times New Roman"/>
                <w:b/>
                <w:bCs/>
                <w:sz w:val="24"/>
                <w:szCs w:val="24"/>
              </w:rPr>
              <w:t>9、贵公司今年以来跌了30%的股价，请问是什么问题？</w:t>
            </w:r>
          </w:p>
          <w:p w14:paraId="7D342C7A">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二级市场的股价波动受到宏观经济、政策、资本市场整体环境和投资者预期等诸多因素影响，投资者应理性看待股价波动并注意防范投资风险；未来公司将继续坚持“突破饲料，优化养猪，发展食品”的经营思路，做精饲料，做优养猪，做大做强食品，将主营业务做精做优做扎实，为行业和投资者创造价值。感谢您的关注。</w:t>
            </w:r>
          </w:p>
          <w:p w14:paraId="2D1F0838">
            <w:pPr>
              <w:pStyle w:val="10"/>
              <w:spacing w:line="460" w:lineRule="exact"/>
              <w:ind w:left="-2" w:leftChars="-1" w:firstLine="480"/>
              <w:rPr>
                <w:rFonts w:ascii="Times New Roman" w:hAnsi="Times New Roman"/>
                <w:sz w:val="24"/>
                <w:szCs w:val="24"/>
              </w:rPr>
            </w:pPr>
          </w:p>
          <w:p w14:paraId="06DB71A9">
            <w:pPr>
              <w:pStyle w:val="10"/>
              <w:spacing w:line="460" w:lineRule="exact"/>
              <w:ind w:left="-2" w:leftChars="-1" w:firstLine="480" w:firstLineChars="0"/>
              <w:rPr>
                <w:rFonts w:ascii="Times New Roman" w:hAnsi="Times New Roman"/>
                <w:b/>
                <w:bCs/>
                <w:sz w:val="24"/>
                <w:szCs w:val="24"/>
              </w:rPr>
            </w:pPr>
            <w:r>
              <w:rPr>
                <w:rFonts w:hint="eastAsia" w:ascii="Times New Roman" w:hAnsi="Times New Roman"/>
                <w:b/>
                <w:bCs/>
                <w:sz w:val="24"/>
                <w:szCs w:val="24"/>
              </w:rPr>
              <w:t>10、面对当前股价大幅波动、中小投资者损失较大的情况，公司是否有相应的市值管理与市值维护机制？</w:t>
            </w:r>
          </w:p>
          <w:p w14:paraId="27952F5A">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您好，公司高度重视市值管理工作，在切实提升公司基本面的基础上，增强信息披露质量和透明度，积极采取措施，提振投资者信心，未来公司条件具备的情形下，公司也会积极考虑运用分红、回购、并购等措施，依法依规实施，推动提升公司投资价值，增强投资者回报。感谢您对公司的关注。</w:t>
            </w:r>
          </w:p>
          <w:p w14:paraId="783E241F">
            <w:pPr>
              <w:pStyle w:val="10"/>
              <w:spacing w:line="460" w:lineRule="exact"/>
              <w:ind w:left="-2" w:leftChars="-1" w:firstLine="480"/>
              <w:rPr>
                <w:rFonts w:ascii="Times New Roman" w:hAnsi="Times New Roman"/>
                <w:sz w:val="24"/>
                <w:szCs w:val="24"/>
              </w:rPr>
            </w:pPr>
          </w:p>
          <w:p w14:paraId="23CAFDA7">
            <w:pPr>
              <w:pStyle w:val="10"/>
              <w:spacing w:line="460" w:lineRule="exact"/>
              <w:ind w:left="-2" w:leftChars="-1" w:firstLine="480" w:firstLineChars="0"/>
              <w:rPr>
                <w:rFonts w:ascii="Times New Roman" w:hAnsi="Times New Roman"/>
                <w:b/>
                <w:bCs/>
                <w:sz w:val="24"/>
                <w:szCs w:val="24"/>
              </w:rPr>
            </w:pPr>
            <w:r>
              <w:rPr>
                <w:rFonts w:hint="eastAsia" w:ascii="Times New Roman" w:hAnsi="Times New Roman"/>
                <w:b/>
                <w:bCs/>
                <w:sz w:val="24"/>
                <w:szCs w:val="24"/>
              </w:rPr>
              <w:t>11、关于立案调查，证监会一直没有具体意见和相关决定，那贵公司为什么不启动内部自查？以及贵公司2025年年报预报与实际偏差了1000多万，净利润差了2000多万，具体是为什么?贵公司目前生猪每公斤成本是多少？</w:t>
            </w:r>
          </w:p>
          <w:p w14:paraId="40FE7D59">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①关于自查，公司以立案调查为契机，对公司诉讼/仲裁、关联交易等关键信息披露环节开展全面自查，并已升级ERP系统相关管理模块，实现相关事项的台账记录、进展跟踪、风险评级、披露提醒、数据统计等信息化管理，确保信息准确和披露及时；②关于2025年年报预报与实际偏差，净利润偏差在于对于单项信用减值损失的计提所致，基于对应收款项客户的期后财务状况进行判断；③关于生猪成本，近年来公司积极推动生猪养殖产能优化工作，合理调整养殖布局、规模与品种结构，后续将继续坚持“稳字当头，持续降本”的策略，集中资源发展优势产能，夯实经营发展目标，切实推进降本工作。公司一季度生猪出栏完全成本为12.83元/公斤。感谢您的关注。</w:t>
            </w:r>
          </w:p>
          <w:p w14:paraId="09FE53C8">
            <w:pPr>
              <w:pStyle w:val="10"/>
              <w:numPr>
                <w:ilvl w:val="255"/>
                <w:numId w:val="0"/>
              </w:numPr>
              <w:spacing w:line="460" w:lineRule="exact"/>
              <w:rPr>
                <w:bCs/>
                <w:iCs/>
                <w:color w:val="000000"/>
                <w:sz w:val="24"/>
              </w:rPr>
            </w:pPr>
          </w:p>
        </w:tc>
      </w:tr>
      <w:tr w14:paraId="69E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C055E71">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2F23888C">
            <w:pPr>
              <w:spacing w:line="420" w:lineRule="exact"/>
              <w:rPr>
                <w:bCs/>
                <w:iCs/>
                <w:color w:val="000000"/>
                <w:sz w:val="24"/>
              </w:rPr>
            </w:pPr>
            <w:r>
              <w:rPr>
                <w:rFonts w:hint="eastAsia"/>
                <w:bCs/>
                <w:iCs/>
                <w:color w:val="000000"/>
                <w:sz w:val="24"/>
              </w:rPr>
              <w:t>附后</w:t>
            </w:r>
          </w:p>
        </w:tc>
      </w:tr>
      <w:tr w14:paraId="6A05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929E975">
            <w:pPr>
              <w:spacing w:line="420" w:lineRule="exact"/>
              <w:rPr>
                <w:rFonts w:hAnsi="宋体"/>
                <w:bCs/>
                <w:iCs/>
                <w:color w:val="000000"/>
                <w:kern w:val="0"/>
                <w:sz w:val="24"/>
              </w:rPr>
            </w:pPr>
            <w:r>
              <w:rPr>
                <w:rFonts w:hint="eastAsia"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76886EC1">
            <w:pPr>
              <w:spacing w:line="420" w:lineRule="exact"/>
              <w:rPr>
                <w:bCs/>
                <w:iCs/>
                <w:color w:val="000000"/>
                <w:sz w:val="24"/>
              </w:rPr>
            </w:pPr>
            <w:r>
              <w:rPr>
                <w:rFonts w:hint="eastAsia"/>
                <w:bCs/>
                <w:iCs/>
                <w:color w:val="000000"/>
                <w:sz w:val="24"/>
              </w:rPr>
              <w:t>2026年5月12日</w:t>
            </w:r>
          </w:p>
        </w:tc>
      </w:tr>
    </w:tbl>
    <w:p w14:paraId="553BCC44">
      <w:r>
        <w:br w:type="page"/>
      </w:r>
    </w:p>
    <w:p w14:paraId="597ED034">
      <w:pPr>
        <w:pStyle w:val="17"/>
        <w:widowControl/>
        <w:jc w:val="left"/>
        <w:rPr>
          <w:rFonts w:asciiTheme="minorEastAsia" w:hAnsiTheme="minorEastAsia"/>
        </w:rPr>
      </w:pPr>
      <w:r>
        <w:rPr>
          <w:rFonts w:asciiTheme="minorEastAsia" w:hAnsiTheme="minorEastAsia"/>
        </w:rPr>
        <w:t>附件</w:t>
      </w:r>
    </w:p>
    <w:tbl>
      <w:tblPr>
        <w:tblStyle w:val="7"/>
        <w:tblW w:w="8419" w:type="dxa"/>
        <w:tblInd w:w="0" w:type="dxa"/>
        <w:tblLayout w:type="fixed"/>
        <w:tblCellMar>
          <w:top w:w="0" w:type="dxa"/>
          <w:left w:w="0" w:type="dxa"/>
          <w:bottom w:w="0" w:type="dxa"/>
          <w:right w:w="0" w:type="dxa"/>
        </w:tblCellMar>
      </w:tblPr>
      <w:tblGrid>
        <w:gridCol w:w="4309"/>
        <w:gridCol w:w="4110"/>
      </w:tblGrid>
      <w:tr w14:paraId="15290E90">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shd w:val="clear" w:color="auto" w:fill="FFFFFF"/>
            <w:tcMar>
              <w:left w:w="40" w:type="dxa"/>
              <w:bottom w:w="40" w:type="dxa"/>
              <w:right w:w="40" w:type="dxa"/>
            </w:tcMar>
            <w:vAlign w:val="center"/>
          </w:tcPr>
          <w:p w14:paraId="432414CE">
            <w:pPr>
              <w:pStyle w:val="6"/>
              <w:widowControl/>
              <w:spacing w:beforeAutospacing="0" w:afterAutospacing="0"/>
              <w:jc w:val="center"/>
              <w:rPr>
                <w:rFonts w:cs="Songti SC Regular"/>
              </w:rPr>
            </w:pPr>
            <w:r>
              <w:rPr>
                <w:rFonts w:hint="eastAsia" w:cs="Songti SC Regular"/>
              </w:rPr>
              <w:t>参加机构名单</w:t>
            </w:r>
          </w:p>
        </w:tc>
        <w:tc>
          <w:tcPr>
            <w:tcW w:w="4110" w:type="dxa"/>
            <w:tcBorders>
              <w:top w:val="single" w:color="000000" w:sz="8" w:space="0"/>
              <w:left w:val="single" w:color="000000" w:sz="8" w:space="0"/>
              <w:bottom w:val="single" w:color="000000" w:sz="8" w:space="0"/>
              <w:right w:val="single" w:color="000000" w:sz="8" w:space="0"/>
            </w:tcBorders>
            <w:shd w:val="clear" w:color="auto" w:fill="FFFFFF"/>
            <w:tcMar>
              <w:left w:w="40" w:type="dxa"/>
              <w:bottom w:w="40" w:type="dxa"/>
              <w:right w:w="40" w:type="dxa"/>
            </w:tcMar>
            <w:vAlign w:val="center"/>
          </w:tcPr>
          <w:p w14:paraId="09725647">
            <w:pPr>
              <w:pStyle w:val="6"/>
              <w:widowControl/>
              <w:spacing w:beforeAutospacing="0" w:afterAutospacing="0"/>
              <w:jc w:val="center"/>
              <w:rPr>
                <w:rFonts w:cs="Songti SC Regular"/>
              </w:rPr>
            </w:pPr>
            <w:r>
              <w:rPr>
                <w:rFonts w:hint="eastAsia" w:cs="Songti SC Regular"/>
              </w:rPr>
              <w:t>参会人员</w:t>
            </w:r>
          </w:p>
        </w:tc>
      </w:tr>
      <w:tr w14:paraId="49DA1989">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3F72871">
            <w:pPr>
              <w:widowControl/>
              <w:jc w:val="left"/>
              <w:textAlignment w:val="center"/>
              <w:rPr>
                <w:rFonts w:cs="宋体"/>
                <w:color w:val="000000"/>
                <w:sz w:val="24"/>
              </w:rPr>
            </w:pPr>
            <w:r>
              <w:rPr>
                <w:rFonts w:hint="eastAsia" w:ascii="宋体" w:hAnsi="宋体" w:cs="宋体"/>
                <w:color w:val="000000"/>
                <w:kern w:val="0"/>
                <w:sz w:val="24"/>
                <w:lang w:bidi="ar"/>
              </w:rPr>
              <w:t>成都保盛家族资产管理有限公司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15034F05">
            <w:pPr>
              <w:widowControl/>
              <w:jc w:val="left"/>
              <w:textAlignment w:val="center"/>
              <w:rPr>
                <w:rFonts w:cs="宋体"/>
                <w:color w:val="000000"/>
                <w:sz w:val="24"/>
              </w:rPr>
            </w:pPr>
            <w:r>
              <w:rPr>
                <w:rFonts w:hint="eastAsia" w:ascii="宋体" w:hAnsi="宋体" w:cs="宋体"/>
                <w:color w:val="000000"/>
                <w:kern w:val="0"/>
                <w:sz w:val="24"/>
                <w:lang w:bidi="ar"/>
              </w:rPr>
              <w:t>王国森</w:t>
            </w:r>
          </w:p>
        </w:tc>
      </w:tr>
      <w:tr w14:paraId="019860E1">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1CA77039">
            <w:pPr>
              <w:widowControl/>
              <w:jc w:val="left"/>
              <w:textAlignment w:val="center"/>
              <w:rPr>
                <w:rFonts w:cs="宋体"/>
                <w:color w:val="000000"/>
                <w:sz w:val="24"/>
              </w:rPr>
            </w:pPr>
            <w:r>
              <w:rPr>
                <w:rFonts w:hint="eastAsia" w:ascii="宋体" w:hAnsi="宋体" w:cs="宋体"/>
                <w:color w:val="000000"/>
                <w:kern w:val="0"/>
                <w:sz w:val="24"/>
                <w:lang w:bidi="ar"/>
              </w:rPr>
              <w:t>东方证券股份有限公司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76BCAB9A">
            <w:pPr>
              <w:widowControl/>
              <w:jc w:val="left"/>
              <w:textAlignment w:val="center"/>
              <w:rPr>
                <w:rFonts w:cs="宋体"/>
                <w:color w:val="000000"/>
                <w:sz w:val="24"/>
              </w:rPr>
            </w:pPr>
            <w:r>
              <w:rPr>
                <w:rFonts w:hint="eastAsia" w:ascii="宋体" w:hAnsi="宋体" w:cs="宋体"/>
                <w:color w:val="000000"/>
                <w:kern w:val="0"/>
                <w:sz w:val="24"/>
                <w:lang w:bidi="ar"/>
              </w:rPr>
              <w:t>于明正</w:t>
            </w:r>
          </w:p>
        </w:tc>
      </w:tr>
      <w:tr w14:paraId="3F582CA6">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44CCD223">
            <w:pPr>
              <w:widowControl/>
              <w:jc w:val="left"/>
              <w:textAlignment w:val="center"/>
              <w:rPr>
                <w:rFonts w:cs="宋体"/>
                <w:color w:val="000000"/>
                <w:sz w:val="24"/>
              </w:rPr>
            </w:pPr>
            <w:r>
              <w:rPr>
                <w:rFonts w:hint="eastAsia" w:ascii="宋体" w:hAnsi="宋体" w:cs="宋体"/>
                <w:color w:val="000000"/>
                <w:kern w:val="0"/>
                <w:sz w:val="24"/>
                <w:lang w:bidi="ar"/>
              </w:rPr>
              <w:t>方正证券股份有限公司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989E540">
            <w:pPr>
              <w:widowControl/>
              <w:jc w:val="left"/>
              <w:textAlignment w:val="center"/>
              <w:rPr>
                <w:rFonts w:cs="宋体"/>
                <w:color w:val="000000"/>
                <w:sz w:val="24"/>
              </w:rPr>
            </w:pPr>
            <w:r>
              <w:rPr>
                <w:rFonts w:hint="eastAsia" w:ascii="宋体" w:hAnsi="宋体" w:cs="宋体"/>
                <w:color w:val="000000"/>
                <w:kern w:val="0"/>
                <w:sz w:val="24"/>
                <w:lang w:bidi="ar"/>
              </w:rPr>
              <w:t>邱星皓</w:t>
            </w:r>
          </w:p>
        </w:tc>
      </w:tr>
      <w:tr w14:paraId="46B80CAA">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4F967B05">
            <w:pPr>
              <w:widowControl/>
              <w:jc w:val="left"/>
              <w:textAlignment w:val="center"/>
              <w:rPr>
                <w:rFonts w:cs="宋体"/>
                <w:color w:val="000000"/>
                <w:sz w:val="24"/>
              </w:rPr>
            </w:pPr>
            <w:r>
              <w:rPr>
                <w:rFonts w:hint="eastAsia" w:ascii="宋体" w:hAnsi="宋体" w:cs="宋体"/>
                <w:color w:val="000000"/>
                <w:kern w:val="0"/>
                <w:sz w:val="24"/>
                <w:lang w:bidi="ar"/>
              </w:rPr>
              <w:t>耕霁（上海）投资管理有限公司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2DA98ABE">
            <w:pPr>
              <w:widowControl/>
              <w:jc w:val="left"/>
              <w:textAlignment w:val="center"/>
              <w:rPr>
                <w:rFonts w:cs="宋体"/>
                <w:color w:val="000000"/>
                <w:sz w:val="24"/>
              </w:rPr>
            </w:pPr>
            <w:r>
              <w:rPr>
                <w:rFonts w:hint="eastAsia" w:ascii="宋体" w:hAnsi="宋体" w:cs="宋体"/>
                <w:color w:val="000000"/>
                <w:kern w:val="0"/>
                <w:sz w:val="24"/>
                <w:lang w:bidi="ar"/>
              </w:rPr>
              <w:t>王立</w:t>
            </w:r>
          </w:p>
        </w:tc>
      </w:tr>
      <w:tr w14:paraId="48340344">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4925F33">
            <w:pPr>
              <w:widowControl/>
              <w:jc w:val="left"/>
              <w:textAlignment w:val="center"/>
              <w:rPr>
                <w:rFonts w:cs="宋体"/>
                <w:color w:val="000000"/>
                <w:sz w:val="24"/>
              </w:rPr>
            </w:pPr>
            <w:r>
              <w:rPr>
                <w:rFonts w:hint="eastAsia" w:ascii="宋体" w:hAnsi="宋体" w:cs="宋体"/>
                <w:color w:val="000000"/>
                <w:kern w:val="0"/>
                <w:sz w:val="24"/>
                <w:lang w:bidi="ar"/>
              </w:rPr>
              <w:t>广发证券股份有限公司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43892967">
            <w:pPr>
              <w:widowControl/>
              <w:jc w:val="left"/>
              <w:textAlignment w:val="center"/>
              <w:rPr>
                <w:rFonts w:cs="宋体"/>
                <w:color w:val="000000"/>
                <w:sz w:val="24"/>
              </w:rPr>
            </w:pPr>
            <w:r>
              <w:rPr>
                <w:rFonts w:hint="eastAsia" w:ascii="宋体" w:hAnsi="宋体" w:cs="宋体"/>
                <w:color w:val="000000"/>
                <w:kern w:val="0"/>
                <w:sz w:val="24"/>
                <w:lang w:bidi="ar"/>
              </w:rPr>
              <w:t>李雅琦</w:t>
            </w:r>
          </w:p>
        </w:tc>
      </w:tr>
      <w:tr w14:paraId="30A50820">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6B54F01">
            <w:pPr>
              <w:widowControl/>
              <w:jc w:val="left"/>
              <w:textAlignment w:val="center"/>
              <w:rPr>
                <w:rFonts w:cs="宋体"/>
                <w:color w:val="000000"/>
                <w:sz w:val="24"/>
              </w:rPr>
            </w:pPr>
            <w:r>
              <w:rPr>
                <w:rFonts w:hint="eastAsia" w:ascii="宋体" w:hAnsi="宋体" w:cs="宋体"/>
                <w:color w:val="000000"/>
                <w:kern w:val="0"/>
                <w:sz w:val="24"/>
                <w:lang w:bidi="ar"/>
              </w:rPr>
              <w:t>国泰海通证券股份有限公司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59E8E81">
            <w:pPr>
              <w:widowControl/>
              <w:jc w:val="left"/>
              <w:textAlignment w:val="center"/>
              <w:rPr>
                <w:rFonts w:cs="宋体"/>
                <w:color w:val="000000"/>
                <w:sz w:val="24"/>
              </w:rPr>
            </w:pPr>
            <w:r>
              <w:rPr>
                <w:rFonts w:hint="eastAsia" w:ascii="宋体" w:hAnsi="宋体" w:cs="宋体"/>
                <w:color w:val="000000"/>
                <w:kern w:val="0"/>
                <w:sz w:val="24"/>
                <w:lang w:bidi="ar"/>
              </w:rPr>
              <w:t>张彦博</w:t>
            </w:r>
          </w:p>
        </w:tc>
      </w:tr>
      <w:tr w14:paraId="03816C20">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928946F">
            <w:pPr>
              <w:widowControl/>
              <w:jc w:val="left"/>
              <w:textAlignment w:val="center"/>
              <w:rPr>
                <w:rFonts w:cs="宋体"/>
                <w:color w:val="000000"/>
                <w:sz w:val="24"/>
              </w:rPr>
            </w:pPr>
            <w:r>
              <w:rPr>
                <w:rFonts w:hint="eastAsia" w:ascii="宋体" w:hAnsi="宋体" w:cs="宋体"/>
                <w:color w:val="000000"/>
                <w:kern w:val="0"/>
                <w:sz w:val="24"/>
                <w:lang w:bidi="ar"/>
              </w:rPr>
              <w:t>国信证券股份有限公司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2002B07A">
            <w:pPr>
              <w:widowControl/>
              <w:jc w:val="left"/>
              <w:textAlignment w:val="center"/>
              <w:rPr>
                <w:rFonts w:cs="宋体"/>
                <w:color w:val="000000"/>
                <w:sz w:val="24"/>
              </w:rPr>
            </w:pPr>
            <w:r>
              <w:rPr>
                <w:rFonts w:hint="eastAsia" w:ascii="宋体" w:hAnsi="宋体" w:cs="宋体"/>
                <w:color w:val="000000"/>
                <w:kern w:val="0"/>
                <w:sz w:val="24"/>
                <w:lang w:bidi="ar"/>
              </w:rPr>
              <w:t>李瑞楠</w:t>
            </w:r>
          </w:p>
        </w:tc>
      </w:tr>
      <w:tr w14:paraId="757EF118">
        <w:tblPrEx>
          <w:tblCellMar>
            <w:top w:w="0" w:type="dxa"/>
            <w:left w:w="0" w:type="dxa"/>
            <w:bottom w:w="0" w:type="dxa"/>
            <w:right w:w="0" w:type="dxa"/>
          </w:tblCellMar>
        </w:tblPrEx>
        <w:trPr>
          <w:trHeight w:val="9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8E1C5A0">
            <w:pPr>
              <w:widowControl/>
              <w:jc w:val="left"/>
              <w:textAlignment w:val="center"/>
              <w:rPr>
                <w:rFonts w:cs="宋体"/>
                <w:color w:val="000000"/>
                <w:sz w:val="24"/>
              </w:rPr>
            </w:pPr>
            <w:r>
              <w:rPr>
                <w:rFonts w:hint="eastAsia" w:ascii="宋体" w:hAnsi="宋体" w:cs="宋体"/>
                <w:color w:val="000000"/>
                <w:kern w:val="0"/>
                <w:sz w:val="24"/>
                <w:lang w:bidi="ar"/>
              </w:rPr>
              <w:t>海通证券股份有限公司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9B6471B">
            <w:pPr>
              <w:widowControl/>
              <w:jc w:val="left"/>
              <w:textAlignment w:val="center"/>
              <w:rPr>
                <w:rFonts w:cs="宋体"/>
                <w:color w:val="000000"/>
                <w:sz w:val="24"/>
              </w:rPr>
            </w:pPr>
            <w:r>
              <w:rPr>
                <w:rFonts w:hint="eastAsia" w:ascii="宋体" w:hAnsi="宋体" w:cs="宋体"/>
                <w:color w:val="000000"/>
                <w:kern w:val="0"/>
                <w:sz w:val="24"/>
                <w:lang w:bidi="ar"/>
              </w:rPr>
              <w:t>巩健</w:t>
            </w:r>
          </w:p>
        </w:tc>
      </w:tr>
      <w:tr w14:paraId="1829001B">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2BEBD89F">
            <w:pPr>
              <w:widowControl/>
              <w:jc w:val="left"/>
              <w:textAlignment w:val="center"/>
              <w:rPr>
                <w:rFonts w:cs="宋体"/>
                <w:color w:val="000000"/>
                <w:sz w:val="24"/>
              </w:rPr>
            </w:pPr>
            <w:r>
              <w:rPr>
                <w:rFonts w:hint="eastAsia" w:ascii="宋体" w:hAnsi="宋体" w:cs="宋体"/>
                <w:color w:val="000000"/>
                <w:kern w:val="0"/>
                <w:sz w:val="24"/>
                <w:lang w:bidi="ar"/>
              </w:rPr>
              <w:t>杭州热联集团股份有限公司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BB49350">
            <w:pPr>
              <w:widowControl/>
              <w:jc w:val="left"/>
              <w:textAlignment w:val="center"/>
              <w:rPr>
                <w:rFonts w:cs="宋体"/>
                <w:color w:val="000000"/>
                <w:sz w:val="24"/>
              </w:rPr>
            </w:pPr>
            <w:r>
              <w:rPr>
                <w:rFonts w:hint="eastAsia" w:ascii="宋体" w:hAnsi="宋体" w:cs="宋体"/>
                <w:color w:val="000000"/>
                <w:kern w:val="0"/>
                <w:sz w:val="24"/>
                <w:lang w:bidi="ar"/>
              </w:rPr>
              <w:t>黄震宇</w:t>
            </w:r>
          </w:p>
        </w:tc>
      </w:tr>
      <w:tr w14:paraId="6EBCC0A9">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A90C617">
            <w:pPr>
              <w:widowControl/>
              <w:jc w:val="left"/>
              <w:textAlignment w:val="center"/>
              <w:rPr>
                <w:rFonts w:cs="宋体"/>
                <w:color w:val="000000"/>
                <w:kern w:val="0"/>
                <w:sz w:val="24"/>
                <w:lang w:bidi="ar"/>
              </w:rPr>
            </w:pPr>
            <w:r>
              <w:rPr>
                <w:rFonts w:hint="eastAsia" w:ascii="宋体" w:hAnsi="宋体" w:cs="宋体"/>
                <w:color w:val="000000"/>
                <w:kern w:val="0"/>
                <w:sz w:val="24"/>
                <w:lang w:bidi="ar"/>
              </w:rPr>
              <w:t>弘茗(上海)资产管理有限公司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6C7CD58F">
            <w:pPr>
              <w:widowControl/>
              <w:jc w:val="left"/>
              <w:textAlignment w:val="center"/>
              <w:rPr>
                <w:rFonts w:cs="宋体"/>
                <w:color w:val="000000"/>
                <w:kern w:val="0"/>
                <w:sz w:val="24"/>
                <w:lang w:bidi="ar"/>
              </w:rPr>
            </w:pPr>
            <w:r>
              <w:rPr>
                <w:rFonts w:hint="eastAsia" w:ascii="宋体" w:hAnsi="宋体" w:cs="宋体"/>
                <w:color w:val="000000"/>
                <w:kern w:val="0"/>
                <w:sz w:val="24"/>
                <w:lang w:bidi="ar"/>
              </w:rPr>
              <w:t>周鋐亮</w:t>
            </w:r>
          </w:p>
        </w:tc>
      </w:tr>
      <w:tr w14:paraId="2BE9A30D">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9CB228F">
            <w:pPr>
              <w:widowControl/>
              <w:jc w:val="left"/>
              <w:textAlignment w:val="center"/>
              <w:rPr>
                <w:rFonts w:cs="宋体"/>
                <w:color w:val="000000"/>
                <w:kern w:val="0"/>
                <w:sz w:val="24"/>
                <w:lang w:bidi="ar"/>
              </w:rPr>
            </w:pPr>
            <w:r>
              <w:rPr>
                <w:rFonts w:hint="eastAsia" w:ascii="宋体" w:hAnsi="宋体" w:cs="宋体"/>
                <w:color w:val="000000"/>
                <w:kern w:val="0"/>
                <w:sz w:val="24"/>
                <w:lang w:bidi="ar"/>
              </w:rPr>
              <w:t>华创证券有限责任公司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B8EEC2E">
            <w:pPr>
              <w:widowControl/>
              <w:jc w:val="left"/>
              <w:textAlignment w:val="center"/>
              <w:rPr>
                <w:rFonts w:cs="宋体"/>
                <w:color w:val="000000"/>
                <w:kern w:val="0"/>
                <w:sz w:val="24"/>
                <w:lang w:bidi="ar"/>
              </w:rPr>
            </w:pPr>
            <w:r>
              <w:rPr>
                <w:rFonts w:hint="eastAsia" w:ascii="宋体" w:hAnsi="宋体" w:cs="宋体"/>
                <w:color w:val="000000"/>
                <w:kern w:val="0"/>
                <w:sz w:val="24"/>
                <w:lang w:bidi="ar"/>
              </w:rPr>
              <w:t>陈鹏</w:t>
            </w:r>
          </w:p>
        </w:tc>
      </w:tr>
      <w:tr w14:paraId="1717EC2D">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DCD8434">
            <w:pPr>
              <w:widowControl/>
              <w:jc w:val="left"/>
              <w:textAlignment w:val="center"/>
              <w:rPr>
                <w:rFonts w:cs="宋体"/>
                <w:color w:val="000000"/>
                <w:kern w:val="0"/>
                <w:sz w:val="24"/>
                <w:lang w:bidi="ar"/>
              </w:rPr>
            </w:pPr>
            <w:r>
              <w:rPr>
                <w:rFonts w:hint="eastAsia" w:ascii="宋体" w:hAnsi="宋体" w:cs="宋体"/>
                <w:color w:val="000000"/>
                <w:kern w:val="0"/>
                <w:sz w:val="24"/>
                <w:lang w:bidi="ar"/>
              </w:rPr>
              <w:t>华西证券股份有限公司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13D784DE">
            <w:pPr>
              <w:widowControl/>
              <w:jc w:val="left"/>
              <w:textAlignment w:val="center"/>
              <w:rPr>
                <w:rFonts w:cs="宋体"/>
                <w:color w:val="000000"/>
                <w:kern w:val="0"/>
                <w:sz w:val="24"/>
                <w:lang w:bidi="ar"/>
              </w:rPr>
            </w:pPr>
            <w:r>
              <w:rPr>
                <w:rFonts w:hint="eastAsia" w:ascii="宋体" w:hAnsi="宋体" w:cs="宋体"/>
                <w:color w:val="000000"/>
                <w:kern w:val="0"/>
                <w:sz w:val="24"/>
                <w:lang w:bidi="ar"/>
              </w:rPr>
              <w:t>魏心欣</w:t>
            </w:r>
          </w:p>
        </w:tc>
      </w:tr>
      <w:tr w14:paraId="4E1D1A33">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281E396C">
            <w:pPr>
              <w:widowControl/>
              <w:jc w:val="left"/>
              <w:textAlignment w:val="center"/>
              <w:rPr>
                <w:rFonts w:cs="宋体"/>
                <w:color w:val="000000"/>
                <w:kern w:val="0"/>
                <w:sz w:val="24"/>
                <w:lang w:bidi="ar"/>
              </w:rPr>
            </w:pPr>
            <w:r>
              <w:rPr>
                <w:rFonts w:hint="eastAsia" w:ascii="宋体" w:hAnsi="宋体" w:cs="宋体"/>
                <w:color w:val="000000"/>
                <w:kern w:val="0"/>
                <w:sz w:val="24"/>
                <w:lang w:bidi="ar"/>
              </w:rPr>
              <w:t>天风证券股份有限公司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3FCCF76">
            <w:pPr>
              <w:widowControl/>
              <w:jc w:val="left"/>
              <w:textAlignment w:val="center"/>
              <w:rPr>
                <w:rFonts w:cs="宋体"/>
                <w:color w:val="000000"/>
                <w:kern w:val="0"/>
                <w:sz w:val="24"/>
                <w:lang w:bidi="ar"/>
              </w:rPr>
            </w:pPr>
            <w:r>
              <w:rPr>
                <w:rFonts w:hint="eastAsia" w:ascii="宋体" w:hAnsi="宋体" w:cs="宋体"/>
                <w:color w:val="000000"/>
                <w:kern w:val="0"/>
                <w:sz w:val="24"/>
                <w:lang w:bidi="ar"/>
              </w:rPr>
              <w:t>陈思贝、陈炼</w:t>
            </w:r>
          </w:p>
        </w:tc>
      </w:tr>
      <w:tr w14:paraId="74484CE7">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120A2C3F">
            <w:pPr>
              <w:widowControl/>
              <w:jc w:val="left"/>
              <w:textAlignment w:val="center"/>
              <w:rPr>
                <w:rFonts w:cs="宋体"/>
                <w:color w:val="000000"/>
                <w:kern w:val="0"/>
                <w:sz w:val="24"/>
                <w:lang w:bidi="ar"/>
              </w:rPr>
            </w:pPr>
            <w:r>
              <w:rPr>
                <w:rFonts w:hint="eastAsia" w:ascii="宋体" w:hAnsi="宋体" w:cs="宋体"/>
                <w:color w:val="000000"/>
                <w:kern w:val="0"/>
                <w:sz w:val="24"/>
                <w:lang w:bidi="ar"/>
              </w:rPr>
              <w:t>象上基金</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465CB485">
            <w:pPr>
              <w:widowControl/>
              <w:jc w:val="left"/>
              <w:textAlignment w:val="center"/>
              <w:rPr>
                <w:rFonts w:cs="宋体"/>
                <w:color w:val="000000"/>
                <w:kern w:val="0"/>
                <w:sz w:val="24"/>
                <w:lang w:bidi="ar"/>
              </w:rPr>
            </w:pPr>
            <w:r>
              <w:rPr>
                <w:rFonts w:hint="eastAsia" w:ascii="宋体" w:hAnsi="宋体" w:cs="宋体"/>
                <w:color w:val="000000"/>
                <w:kern w:val="0"/>
                <w:sz w:val="24"/>
                <w:lang w:bidi="ar"/>
              </w:rPr>
              <w:t>杨伦</w:t>
            </w:r>
          </w:p>
        </w:tc>
      </w:tr>
      <w:tr w14:paraId="2422A433">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CCE9665">
            <w:pPr>
              <w:widowControl/>
              <w:jc w:val="left"/>
              <w:textAlignment w:val="center"/>
              <w:rPr>
                <w:rFonts w:cs="宋体"/>
                <w:color w:val="000000"/>
                <w:kern w:val="0"/>
                <w:sz w:val="24"/>
                <w:lang w:bidi="ar"/>
              </w:rPr>
            </w:pPr>
            <w:r>
              <w:rPr>
                <w:rFonts w:hint="eastAsia" w:ascii="宋体" w:hAnsi="宋体" w:cs="宋体"/>
                <w:color w:val="000000"/>
                <w:kern w:val="0"/>
                <w:sz w:val="24"/>
                <w:lang w:bidi="ar"/>
              </w:rPr>
              <w:t>兴业证券股份有限公司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4B4CBC9F">
            <w:pPr>
              <w:widowControl/>
              <w:jc w:val="left"/>
              <w:textAlignment w:val="center"/>
              <w:rPr>
                <w:rFonts w:cs="宋体"/>
                <w:color w:val="000000"/>
                <w:kern w:val="0"/>
                <w:sz w:val="24"/>
                <w:lang w:bidi="ar"/>
              </w:rPr>
            </w:pPr>
            <w:r>
              <w:rPr>
                <w:rFonts w:hint="eastAsia" w:ascii="宋体" w:hAnsi="宋体" w:cs="宋体"/>
                <w:color w:val="000000"/>
                <w:kern w:val="0"/>
                <w:sz w:val="24"/>
                <w:lang w:bidi="ar"/>
              </w:rPr>
              <w:t>陈勇杰</w:t>
            </w:r>
          </w:p>
        </w:tc>
      </w:tr>
      <w:tr w14:paraId="761A567F">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947320E">
            <w:pPr>
              <w:widowControl/>
              <w:jc w:val="left"/>
              <w:textAlignment w:val="center"/>
              <w:rPr>
                <w:rFonts w:cs="宋体"/>
                <w:color w:val="000000"/>
                <w:kern w:val="0"/>
                <w:sz w:val="24"/>
                <w:lang w:bidi="ar"/>
              </w:rPr>
            </w:pPr>
            <w:r>
              <w:rPr>
                <w:rFonts w:hint="eastAsia" w:ascii="宋体" w:hAnsi="宋体" w:cs="宋体"/>
                <w:color w:val="000000"/>
                <w:kern w:val="0"/>
                <w:sz w:val="24"/>
                <w:lang w:bidi="ar"/>
              </w:rPr>
              <w:t>长江证券股份有限公司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FDE29CB">
            <w:pPr>
              <w:widowControl/>
              <w:jc w:val="left"/>
              <w:textAlignment w:val="center"/>
              <w:rPr>
                <w:rFonts w:cs="宋体"/>
                <w:color w:val="000000"/>
                <w:kern w:val="0"/>
                <w:sz w:val="24"/>
                <w:lang w:bidi="ar"/>
              </w:rPr>
            </w:pPr>
            <w:r>
              <w:rPr>
                <w:rFonts w:hint="eastAsia" w:ascii="宋体" w:hAnsi="宋体" w:cs="宋体"/>
                <w:color w:val="000000"/>
                <w:kern w:val="0"/>
                <w:sz w:val="24"/>
                <w:lang w:bidi="ar"/>
              </w:rPr>
              <w:t>黄建霖</w:t>
            </w:r>
          </w:p>
        </w:tc>
      </w:tr>
      <w:tr w14:paraId="470738A7">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304BD6D3">
            <w:pPr>
              <w:widowControl/>
              <w:jc w:val="left"/>
              <w:textAlignment w:val="center"/>
              <w:rPr>
                <w:rFonts w:cs="宋体"/>
                <w:color w:val="000000"/>
                <w:kern w:val="0"/>
                <w:sz w:val="24"/>
                <w:lang w:bidi="ar"/>
              </w:rPr>
            </w:pPr>
            <w:r>
              <w:rPr>
                <w:rFonts w:hint="eastAsia" w:ascii="宋体" w:hAnsi="宋体" w:cs="宋体"/>
                <w:color w:val="000000"/>
                <w:kern w:val="0"/>
                <w:sz w:val="24"/>
                <w:lang w:bidi="ar"/>
              </w:rPr>
              <w:t>中国国际金融股份有限公司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6A004AAF">
            <w:pPr>
              <w:widowControl/>
              <w:jc w:val="left"/>
              <w:textAlignment w:val="center"/>
              <w:rPr>
                <w:rFonts w:cs="宋体"/>
                <w:color w:val="000000"/>
                <w:kern w:val="0"/>
                <w:sz w:val="24"/>
                <w:lang w:bidi="ar"/>
              </w:rPr>
            </w:pPr>
            <w:r>
              <w:rPr>
                <w:rFonts w:hint="eastAsia" w:ascii="宋体" w:hAnsi="宋体" w:cs="宋体"/>
                <w:color w:val="000000"/>
                <w:kern w:val="0"/>
                <w:sz w:val="24"/>
                <w:lang w:bidi="ar"/>
              </w:rPr>
              <w:t>龙友琪</w:t>
            </w:r>
          </w:p>
        </w:tc>
      </w:tr>
      <w:tr w14:paraId="4898560C">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7E7763C9">
            <w:pPr>
              <w:widowControl/>
              <w:jc w:val="left"/>
              <w:textAlignment w:val="center"/>
              <w:rPr>
                <w:rFonts w:cs="宋体"/>
                <w:color w:val="000000"/>
                <w:kern w:val="0"/>
                <w:sz w:val="24"/>
                <w:lang w:bidi="ar"/>
              </w:rPr>
            </w:pPr>
            <w:r>
              <w:rPr>
                <w:rFonts w:hint="eastAsia" w:ascii="宋体" w:hAnsi="宋体" w:cs="宋体"/>
                <w:color w:val="000000"/>
                <w:kern w:val="0"/>
                <w:sz w:val="24"/>
                <w:lang w:bidi="ar"/>
              </w:rPr>
              <w:t>中国银河证券股份有限公司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5D2594AB">
            <w:pPr>
              <w:widowControl/>
              <w:jc w:val="left"/>
              <w:textAlignment w:val="center"/>
              <w:rPr>
                <w:rFonts w:cs="宋体"/>
                <w:color w:val="000000"/>
                <w:kern w:val="0"/>
                <w:sz w:val="24"/>
                <w:lang w:bidi="ar"/>
              </w:rPr>
            </w:pPr>
            <w:r>
              <w:rPr>
                <w:rFonts w:hint="eastAsia" w:ascii="宋体" w:hAnsi="宋体" w:cs="宋体"/>
                <w:color w:val="000000"/>
                <w:kern w:val="0"/>
                <w:sz w:val="24"/>
                <w:lang w:bidi="ar"/>
              </w:rPr>
              <w:t>谢芝优</w:t>
            </w:r>
          </w:p>
        </w:tc>
      </w:tr>
      <w:tr w14:paraId="22079727">
        <w:tblPrEx>
          <w:tblCellMar>
            <w:top w:w="0" w:type="dxa"/>
            <w:left w:w="0" w:type="dxa"/>
            <w:bottom w:w="0" w:type="dxa"/>
            <w:right w:w="0" w:type="dxa"/>
          </w:tblCellMar>
        </w:tblPrEx>
        <w:trPr>
          <w:trHeight w:val="300" w:hRule="atLeast"/>
        </w:trPr>
        <w:tc>
          <w:tcPr>
            <w:tcW w:w="4309"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04A8313E">
            <w:pPr>
              <w:widowControl/>
              <w:jc w:val="left"/>
              <w:textAlignment w:val="center"/>
              <w:rPr>
                <w:rFonts w:cs="宋体"/>
                <w:color w:val="000000"/>
                <w:kern w:val="0"/>
                <w:sz w:val="24"/>
                <w:lang w:bidi="ar"/>
              </w:rPr>
            </w:pPr>
            <w:r>
              <w:rPr>
                <w:rFonts w:hint="eastAsia" w:ascii="宋体" w:hAnsi="宋体" w:cs="宋体"/>
                <w:color w:val="000000"/>
                <w:kern w:val="0"/>
                <w:sz w:val="24"/>
                <w:lang w:bidi="ar"/>
              </w:rPr>
              <w:t>中信证券股份有限公司</w:t>
            </w:r>
          </w:p>
        </w:tc>
        <w:tc>
          <w:tcPr>
            <w:tcW w:w="4110" w:type="dxa"/>
            <w:tcBorders>
              <w:top w:val="single" w:color="000000" w:sz="8" w:space="0"/>
              <w:left w:val="single" w:color="000000" w:sz="8" w:space="0"/>
              <w:bottom w:val="single" w:color="000000" w:sz="8" w:space="0"/>
              <w:right w:val="single" w:color="000000" w:sz="8" w:space="0"/>
            </w:tcBorders>
            <w:tcMar>
              <w:left w:w="40" w:type="dxa"/>
              <w:bottom w:w="40" w:type="dxa"/>
              <w:right w:w="40" w:type="dxa"/>
            </w:tcMar>
            <w:vAlign w:val="center"/>
          </w:tcPr>
          <w:p w14:paraId="7EB482AE">
            <w:pPr>
              <w:widowControl/>
              <w:jc w:val="left"/>
              <w:textAlignment w:val="center"/>
              <w:rPr>
                <w:rFonts w:cs="宋体"/>
                <w:color w:val="000000"/>
                <w:kern w:val="0"/>
                <w:sz w:val="24"/>
                <w:lang w:bidi="ar"/>
              </w:rPr>
            </w:pPr>
            <w:r>
              <w:rPr>
                <w:rFonts w:hint="eastAsia" w:ascii="宋体" w:hAnsi="宋体" w:cs="宋体"/>
                <w:color w:val="000000"/>
                <w:kern w:val="0"/>
                <w:sz w:val="24"/>
                <w:lang w:bidi="ar"/>
              </w:rPr>
              <w:t>彭家乐、施杨</w:t>
            </w:r>
          </w:p>
        </w:tc>
      </w:tr>
    </w:tbl>
    <w:p w14:paraId="22DFB447"/>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ongti SC Regular">
    <w:altName w:val="宋体"/>
    <w:panose1 w:val="020106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CD73">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TRmOGQzYmI4NDMzZDQ1ZDVkYTZmZDQ1Y2Q1NTA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38CD"/>
    <w:rsid w:val="00125EB2"/>
    <w:rsid w:val="00142A4C"/>
    <w:rsid w:val="00144279"/>
    <w:rsid w:val="001452FF"/>
    <w:rsid w:val="0016617A"/>
    <w:rsid w:val="00167E99"/>
    <w:rsid w:val="001975AB"/>
    <w:rsid w:val="001A00F5"/>
    <w:rsid w:val="001A1F65"/>
    <w:rsid w:val="001A5CE9"/>
    <w:rsid w:val="001C50AD"/>
    <w:rsid w:val="001D22EE"/>
    <w:rsid w:val="001D2E4C"/>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4C9B"/>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0DF"/>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D6B9B"/>
    <w:rsid w:val="006E1DB4"/>
    <w:rsid w:val="00753DB6"/>
    <w:rsid w:val="00763847"/>
    <w:rsid w:val="00771FE3"/>
    <w:rsid w:val="00776BDE"/>
    <w:rsid w:val="00786870"/>
    <w:rsid w:val="00792237"/>
    <w:rsid w:val="0079272A"/>
    <w:rsid w:val="007A1DA9"/>
    <w:rsid w:val="007B2252"/>
    <w:rsid w:val="007B79D9"/>
    <w:rsid w:val="007C57A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1D81"/>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0917"/>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91B65"/>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50315A"/>
    <w:rsid w:val="0280414D"/>
    <w:rsid w:val="036D498E"/>
    <w:rsid w:val="039D711A"/>
    <w:rsid w:val="03D116D7"/>
    <w:rsid w:val="080161A0"/>
    <w:rsid w:val="0C79096B"/>
    <w:rsid w:val="110F27D4"/>
    <w:rsid w:val="1371322C"/>
    <w:rsid w:val="148B1F38"/>
    <w:rsid w:val="161D2163"/>
    <w:rsid w:val="165F1E99"/>
    <w:rsid w:val="16AC65DE"/>
    <w:rsid w:val="1B2418A5"/>
    <w:rsid w:val="1BCB6C14"/>
    <w:rsid w:val="1CAB7512"/>
    <w:rsid w:val="1E053D9A"/>
    <w:rsid w:val="1FBFC074"/>
    <w:rsid w:val="2141581D"/>
    <w:rsid w:val="241D45BF"/>
    <w:rsid w:val="26DB3F7E"/>
    <w:rsid w:val="28634650"/>
    <w:rsid w:val="29FC03D5"/>
    <w:rsid w:val="2B18263D"/>
    <w:rsid w:val="2CD27FC6"/>
    <w:rsid w:val="31C94A85"/>
    <w:rsid w:val="33A00D3F"/>
    <w:rsid w:val="36B33F6D"/>
    <w:rsid w:val="36FB9E1F"/>
    <w:rsid w:val="3BE02B3F"/>
    <w:rsid w:val="3BE63153"/>
    <w:rsid w:val="3BFA3B96"/>
    <w:rsid w:val="3CEF3472"/>
    <w:rsid w:val="3E4F05D6"/>
    <w:rsid w:val="3EFF16E9"/>
    <w:rsid w:val="3FAA7EF8"/>
    <w:rsid w:val="4249371A"/>
    <w:rsid w:val="42733C91"/>
    <w:rsid w:val="429A2BD1"/>
    <w:rsid w:val="496D37B2"/>
    <w:rsid w:val="542C409C"/>
    <w:rsid w:val="5834342F"/>
    <w:rsid w:val="595F6BA9"/>
    <w:rsid w:val="5A663457"/>
    <w:rsid w:val="5AB72A73"/>
    <w:rsid w:val="5C585D48"/>
    <w:rsid w:val="5F41386E"/>
    <w:rsid w:val="5FC02FBB"/>
    <w:rsid w:val="607019F9"/>
    <w:rsid w:val="6B163BB3"/>
    <w:rsid w:val="6B2D043A"/>
    <w:rsid w:val="6DE80D95"/>
    <w:rsid w:val="6EB20ABF"/>
    <w:rsid w:val="72F04654"/>
    <w:rsid w:val="75A26333"/>
    <w:rsid w:val="77CF73AC"/>
    <w:rsid w:val="78FF0116"/>
    <w:rsid w:val="7A8C5C03"/>
    <w:rsid w:val="7D7D1165"/>
    <w:rsid w:val="7F5318E2"/>
    <w:rsid w:val="7FEF2A8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Autospacing="1" w:afterAutospacing="1"/>
      <w:jc w:val="left"/>
    </w:pPr>
    <w:rPr>
      <w:kern w:val="0"/>
      <w:sz w:val="24"/>
    </w:rPr>
  </w:style>
  <w:style w:type="character" w:styleId="9">
    <w:name w:val="Emphasis"/>
    <w:basedOn w:val="8"/>
    <w:qFormat/>
    <w:uiPriority w:val="0"/>
    <w:rPr>
      <w:i/>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字符"/>
    <w:basedOn w:val="8"/>
    <w:link w:val="3"/>
    <w:qFormat/>
    <w:uiPriority w:val="0"/>
    <w:rPr>
      <w:kern w:val="2"/>
      <w:sz w:val="18"/>
      <w:szCs w:val="18"/>
    </w:rPr>
  </w:style>
  <w:style w:type="character" w:customStyle="1" w:styleId="15">
    <w:name w:val="页眉 字符"/>
    <w:basedOn w:val="8"/>
    <w:link w:val="4"/>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p14"/>
    <w:basedOn w:val="1"/>
    <w:autoRedefine/>
    <w:qFormat/>
    <w:uiPriority w:val="0"/>
    <w:pPr>
      <w:jc w:val="center"/>
    </w:pPr>
    <w:rPr>
      <w:rFonts w:ascii="Trebuchet MS" w:hAnsi="Trebuchet MS"/>
      <w:color w:val="000000"/>
      <w:kern w:val="0"/>
      <w:sz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3193</Words>
  <Characters>3429</Characters>
  <Lines>25</Lines>
  <Paragraphs>7</Paragraphs>
  <TotalTime>4</TotalTime>
  <ScaleCrop>false</ScaleCrop>
  <LinksUpToDate>false</LinksUpToDate>
  <CharactersWithSpaces>3488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Choi</cp:lastModifiedBy>
  <cp:lastPrinted>2025-12-24T05:44:00Z</cp:lastPrinted>
  <dcterms:modified xsi:type="dcterms:W3CDTF">2026-05-12T09:56:48Z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4F088F4C8D764F0E837EDD0776EE7998_13</vt:lpwstr>
  </property>
  <property fmtid="{D5CDD505-2E9C-101B-9397-08002B2CF9AE}" pid="4" name="KSOTemplateDocerSaveRecord">
    <vt:lpwstr>eyJoZGlkIjoiYjQyZTcyZDE4ZWM3NjU0ZDUzYTNmMjg2NTFmZjU3ZmIiLCJ1c2VySWQiOiIzNTA3ODQzNDEifQ==</vt:lpwstr>
  </property>
</Properties>
</file>