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Cs/>
          <w:sz w:val="24"/>
        </w:rPr>
      </w:pPr>
      <w:r>
        <w:rPr>
          <w:rFonts w:hint="eastAsia" w:ascii="黑体" w:hAnsi="黑体" w:eastAsia="黑体"/>
          <w:bCs/>
          <w:sz w:val="24"/>
        </w:rPr>
        <w:t>证券代码：601187                                  证券简称：厦门银行</w:t>
      </w:r>
    </w:p>
    <w:p>
      <w:pPr>
        <w:spacing w:line="360" w:lineRule="auto"/>
        <w:jc w:val="center"/>
        <w:rPr>
          <w:rFonts w:ascii="黑体" w:hAnsi="黑体" w:eastAsia="黑体"/>
          <w:b/>
          <w:sz w:val="32"/>
          <w:szCs w:val="32"/>
        </w:rPr>
      </w:pPr>
      <w:bookmarkStart w:id="0" w:name="OLE_LINK4"/>
      <w:r>
        <w:rPr>
          <w:rFonts w:hint="eastAsia" w:ascii="黑体" w:hAnsi="黑体" w:eastAsia="黑体"/>
          <w:b/>
          <w:sz w:val="32"/>
          <w:szCs w:val="32"/>
        </w:rPr>
        <w:t>厦门银行股份有限公司</w:t>
      </w:r>
    </w:p>
    <w:p>
      <w:pPr>
        <w:spacing w:line="360" w:lineRule="auto"/>
        <w:jc w:val="center"/>
        <w:rPr>
          <w:rFonts w:ascii="黑体" w:hAnsi="黑体" w:eastAsia="黑体"/>
          <w:b/>
          <w:bCs/>
          <w:iCs/>
          <w:color w:val="000000"/>
          <w:sz w:val="32"/>
          <w:szCs w:val="32"/>
        </w:rPr>
      </w:pPr>
      <w:bookmarkStart w:id="1" w:name="OLE_LINK3"/>
      <w:r>
        <w:rPr>
          <w:rFonts w:hint="eastAsia" w:ascii="黑体" w:hAnsi="黑体" w:eastAsia="黑体"/>
          <w:b/>
          <w:bCs/>
          <w:iCs/>
          <w:color w:val="000000"/>
          <w:sz w:val="32"/>
          <w:szCs w:val="32"/>
        </w:rPr>
        <w:t>投资者关系</w:t>
      </w:r>
      <w:bookmarkStart w:id="2" w:name="OLE_LINK1"/>
      <w:bookmarkStart w:id="3" w:name="OLE_LINK2"/>
      <w:r>
        <w:rPr>
          <w:rFonts w:hint="eastAsia" w:ascii="黑体" w:hAnsi="黑体" w:eastAsia="黑体"/>
          <w:b/>
          <w:bCs/>
          <w:iCs/>
          <w:color w:val="000000"/>
          <w:sz w:val="32"/>
          <w:szCs w:val="32"/>
        </w:rPr>
        <w:t>活动记录表</w:t>
      </w:r>
      <w:bookmarkEnd w:id="1"/>
      <w:bookmarkEnd w:id="2"/>
      <w:bookmarkEnd w:id="3"/>
    </w:p>
    <w:bookmarkEnd w:id="0"/>
    <w:p>
      <w:pPr>
        <w:spacing w:line="400" w:lineRule="exact"/>
        <w:jc w:val="right"/>
        <w:rPr>
          <w:rFonts w:ascii="宋体" w:hAnsi="宋体" w:eastAsia="宋体"/>
          <w:bCs/>
          <w:iCs/>
          <w:color w:val="000000"/>
          <w:sz w:val="24"/>
        </w:rPr>
      </w:pPr>
      <w:r>
        <w:rPr>
          <w:rFonts w:hint="eastAsia" w:ascii="宋体" w:hAnsi="宋体" w:eastAsia="宋体"/>
          <w:bCs/>
          <w:iCs/>
          <w:color w:val="000000"/>
          <w:sz w:val="24"/>
        </w:rPr>
        <w:t xml:space="preserve">                                               编号：</w:t>
      </w:r>
      <w:r>
        <w:rPr>
          <w:rFonts w:ascii="宋体" w:hAnsi="宋体" w:eastAsia="宋体"/>
          <w:bCs/>
          <w:iCs/>
          <w:color w:val="000000"/>
          <w:sz w:val="24"/>
          <w:highlight w:val="none"/>
        </w:rPr>
        <w:t>2026-</w:t>
      </w:r>
      <w:r>
        <w:rPr>
          <w:rFonts w:hint="default" w:ascii="宋体" w:hAnsi="宋体" w:eastAsia="宋体"/>
          <w:bCs/>
          <w:iCs/>
          <w:color w:val="000000"/>
          <w:sz w:val="24"/>
          <w:highlight w:val="none"/>
          <w:lang w:val="en-US"/>
        </w:rPr>
        <w:t>04</w:t>
      </w:r>
      <w:r>
        <w:rPr>
          <w:rFonts w:hint="eastAsia" w:ascii="宋体" w:hAnsi="宋体" w:eastAsia="宋体"/>
          <w:bCs/>
          <w:iCs/>
          <w:color w:val="000000"/>
          <w:sz w:val="24"/>
          <w:highlight w:val="none"/>
        </w:rPr>
        <w:t xml:space="preserve"> </w:t>
      </w:r>
      <w:r>
        <w:rPr>
          <w:rFonts w:hint="eastAsia" w:ascii="宋体" w:hAnsi="宋体" w:eastAsia="宋体"/>
          <w:bCs/>
          <w:iCs/>
          <w:color w:val="000000"/>
          <w:sz w:val="24"/>
        </w:rPr>
        <w:t xml:space="preserve">                                                    </w:t>
      </w:r>
    </w:p>
    <w:tbl>
      <w:tblPr>
        <w:tblStyle w:val="12"/>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16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
                <w:bCs/>
                <w:iCs/>
                <w:color w:val="000000"/>
                <w:sz w:val="24"/>
              </w:rPr>
            </w:pPr>
            <w:r>
              <w:rPr>
                <w:rFonts w:hint="eastAsia" w:ascii="宋体" w:hAnsi="宋体" w:eastAsia="宋体" w:cs="宋体"/>
                <w:b/>
                <w:bCs/>
                <w:iCs/>
                <w:color w:val="000000"/>
                <w:sz w:val="24"/>
              </w:rPr>
              <w:t>投资者关系活动类别</w:t>
            </w:r>
          </w:p>
          <w:p>
            <w:pPr>
              <w:spacing w:line="360" w:lineRule="auto"/>
              <w:rPr>
                <w:rFonts w:ascii="宋体" w:hAnsi="宋体" w:eastAsia="宋体" w:cs="宋体"/>
                <w:bCs/>
                <w:iCs/>
                <w:color w:val="000000"/>
                <w:sz w:val="24"/>
              </w:rPr>
            </w:pPr>
          </w:p>
        </w:tc>
        <w:tc>
          <w:tcPr>
            <w:tcW w:w="7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 w:val="24"/>
              </w:rPr>
            </w:pPr>
            <w:r>
              <w:rPr>
                <w:rFonts w:hint="eastAsia" w:ascii="宋体" w:hAnsi="宋体" w:eastAsia="宋体" w:cs="宋体"/>
                <w:bCs/>
                <w:iCs/>
                <w:color w:val="000000"/>
                <w:sz w:val="24"/>
              </w:rPr>
              <w:sym w:font="Wingdings 2" w:char="0052"/>
            </w:r>
            <w:r>
              <w:rPr>
                <w:rFonts w:hint="eastAsia" w:ascii="宋体" w:hAnsi="宋体" w:eastAsia="宋体" w:cs="宋体"/>
                <w:sz w:val="24"/>
              </w:rPr>
              <w:t xml:space="preserve">特定对象调研      </w:t>
            </w:r>
            <w:r>
              <w:rPr>
                <w:rFonts w:hint="eastAsia" w:ascii="宋体" w:hAnsi="宋体" w:eastAsia="宋体" w:cs="宋体"/>
                <w:bCs/>
                <w:iCs/>
                <w:color w:val="000000"/>
                <w:sz w:val="24"/>
              </w:rPr>
              <w:t>□</w:t>
            </w:r>
            <w:r>
              <w:rPr>
                <w:rFonts w:hint="eastAsia" w:ascii="宋体" w:hAnsi="宋体" w:eastAsia="宋体" w:cs="宋体"/>
                <w:sz w:val="24"/>
              </w:rPr>
              <w:t>分析师会议</w:t>
            </w:r>
            <w:r>
              <w:rPr>
                <w:rFonts w:hint="eastAsia" w:ascii="宋体" w:hAnsi="宋体" w:eastAsia="宋体" w:cs="宋体"/>
                <w:bCs/>
                <w:iCs/>
                <w:color w:val="000000"/>
                <w:sz w:val="24"/>
              </w:rPr>
              <w:t xml:space="preserve">        □</w:t>
            </w:r>
            <w:r>
              <w:rPr>
                <w:rFonts w:hint="eastAsia" w:ascii="宋体" w:hAnsi="宋体" w:eastAsia="宋体" w:cs="宋体"/>
                <w:sz w:val="24"/>
              </w:rPr>
              <w:t>媒体采访</w:t>
            </w:r>
          </w:p>
          <w:p>
            <w:pPr>
              <w:spacing w:line="360" w:lineRule="auto"/>
              <w:rPr>
                <w:rFonts w:ascii="宋体" w:hAnsi="宋体" w:eastAsia="宋体" w:cs="宋体"/>
                <w:bCs/>
                <w:iCs/>
                <w:color w:val="000000"/>
                <w:sz w:val="24"/>
              </w:rPr>
            </w:pPr>
            <w:r>
              <w:rPr>
                <w:rFonts w:hint="eastAsia" w:ascii="宋体" w:hAnsi="宋体" w:eastAsia="宋体" w:cs="宋体"/>
                <w:bCs/>
                <w:iCs/>
                <w:color w:val="000000"/>
                <w:sz w:val="24"/>
              </w:rPr>
              <w:sym w:font="Wingdings 2" w:char="0052"/>
            </w:r>
            <w:r>
              <w:rPr>
                <w:rFonts w:hint="eastAsia" w:ascii="宋体" w:hAnsi="宋体" w:eastAsia="宋体" w:cs="宋体"/>
                <w:sz w:val="24"/>
              </w:rPr>
              <w:t>业绩说明会</w:t>
            </w:r>
            <w:r>
              <w:rPr>
                <w:rFonts w:hint="eastAsia" w:ascii="宋体" w:hAnsi="宋体" w:eastAsia="宋体" w:cs="宋体"/>
                <w:bCs/>
                <w:iCs/>
                <w:color w:val="000000"/>
                <w:sz w:val="24"/>
              </w:rPr>
              <w:t xml:space="preserve">         □</w:t>
            </w:r>
            <w:r>
              <w:rPr>
                <w:rFonts w:hint="eastAsia" w:ascii="宋体" w:hAnsi="宋体" w:eastAsia="宋体" w:cs="宋体"/>
                <w:sz w:val="24"/>
              </w:rPr>
              <w:t xml:space="preserve">新闻发布会        </w:t>
            </w:r>
            <w:r>
              <w:rPr>
                <w:rFonts w:hint="eastAsia" w:ascii="宋体" w:hAnsi="宋体" w:eastAsia="宋体" w:cs="宋体"/>
                <w:bCs/>
                <w:iCs/>
                <w:color w:val="000000"/>
                <w:sz w:val="24"/>
              </w:rPr>
              <w:t>□</w:t>
            </w:r>
            <w:r>
              <w:rPr>
                <w:rFonts w:hint="eastAsia" w:ascii="宋体" w:hAnsi="宋体" w:eastAsia="宋体" w:cs="宋体"/>
                <w:sz w:val="24"/>
              </w:rPr>
              <w:t>路演活动</w:t>
            </w:r>
          </w:p>
          <w:p>
            <w:pPr>
              <w:tabs>
                <w:tab w:val="left" w:pos="3045"/>
                <w:tab w:val="center" w:pos="3199"/>
              </w:tabs>
              <w:spacing w:line="360" w:lineRule="auto"/>
              <w:rPr>
                <w:rFonts w:ascii="宋体" w:hAnsi="宋体" w:eastAsia="宋体" w:cs="宋体"/>
                <w:bCs/>
                <w:iCs/>
                <w:color w:val="000000"/>
                <w:sz w:val="24"/>
              </w:rPr>
            </w:pPr>
            <w:r>
              <w:rPr>
                <w:rFonts w:hint="eastAsia" w:ascii="宋体" w:hAnsi="宋体" w:eastAsia="宋体" w:cs="宋体"/>
                <w:bCs/>
                <w:iCs/>
                <w:color w:val="000000"/>
                <w:sz w:val="24"/>
              </w:rPr>
              <w:t>□</w:t>
            </w:r>
            <w:r>
              <w:rPr>
                <w:rFonts w:hint="eastAsia" w:ascii="宋体" w:hAnsi="宋体" w:eastAsia="宋体" w:cs="宋体"/>
                <w:sz w:val="24"/>
              </w:rPr>
              <w:t>现场参观</w:t>
            </w:r>
            <w:r>
              <w:rPr>
                <w:rFonts w:hint="eastAsia" w:ascii="宋体" w:hAnsi="宋体" w:eastAsia="宋体" w:cs="宋体"/>
                <w:bCs/>
                <w:iCs/>
                <w:color w:val="000000"/>
                <w:sz w:val="24"/>
              </w:rPr>
              <w:t xml:space="preserve">           □</w:t>
            </w:r>
            <w:r>
              <w:rPr>
                <w:rFonts w:hint="eastAsia" w:ascii="宋体" w:hAnsi="宋体" w:eastAsia="宋体" w:cs="宋体"/>
                <w:sz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6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
                <w:bCs/>
                <w:iCs/>
                <w:color w:val="000000"/>
                <w:sz w:val="24"/>
              </w:rPr>
            </w:pPr>
            <w:r>
              <w:rPr>
                <w:rFonts w:hint="eastAsia" w:ascii="宋体" w:hAnsi="宋体" w:eastAsia="宋体" w:cs="宋体"/>
                <w:b/>
                <w:bCs/>
                <w:iCs/>
                <w:color w:val="000000"/>
                <w:sz w:val="24"/>
              </w:rPr>
              <w:t>时间及参与单位名称</w:t>
            </w:r>
          </w:p>
        </w:tc>
        <w:tc>
          <w:tcPr>
            <w:tcW w:w="7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Cs/>
                <w:iCs/>
                <w:kern w:val="0"/>
                <w:sz w:val="24"/>
              </w:rPr>
            </w:pPr>
            <w:r>
              <w:rPr>
                <w:rFonts w:hint="eastAsia" w:ascii="宋体" w:hAnsi="宋体" w:eastAsia="宋体" w:cs="宋体"/>
                <w:b/>
                <w:iCs/>
                <w:kern w:val="0"/>
                <w:sz w:val="24"/>
              </w:rPr>
              <w:t>2026年4月15日 现场会议</w:t>
            </w:r>
            <w:r>
              <w:rPr>
                <w:rFonts w:hint="eastAsia" w:ascii="宋体" w:hAnsi="宋体" w:eastAsia="宋体" w:cs="宋体"/>
                <w:bCs/>
                <w:iCs/>
                <w:kern w:val="0"/>
                <w:sz w:val="24"/>
              </w:rPr>
              <w:t xml:space="preserve"> 国盛证券、国泰海通资管、国寿安保、工银瑞信、诺德基金、兴银理财、申万自营、华商基金、中信保诚</w:t>
            </w:r>
          </w:p>
          <w:p>
            <w:pPr>
              <w:spacing w:line="360" w:lineRule="auto"/>
              <w:rPr>
                <w:rFonts w:ascii="宋体" w:hAnsi="宋体" w:eastAsia="宋体" w:cs="宋体"/>
                <w:bCs/>
                <w:iCs/>
                <w:kern w:val="0"/>
                <w:sz w:val="24"/>
              </w:rPr>
            </w:pPr>
            <w:r>
              <w:rPr>
                <w:rFonts w:hint="eastAsia" w:ascii="宋体" w:hAnsi="宋体" w:eastAsia="宋体" w:cs="宋体"/>
                <w:b/>
                <w:iCs/>
                <w:kern w:val="0"/>
                <w:sz w:val="24"/>
              </w:rPr>
              <w:t>2026年4月30日 现场会议</w:t>
            </w:r>
            <w:r>
              <w:rPr>
                <w:rFonts w:hint="eastAsia" w:ascii="宋体" w:hAnsi="宋体" w:eastAsia="宋体" w:cs="宋体"/>
                <w:bCs/>
                <w:iCs/>
                <w:kern w:val="0"/>
                <w:sz w:val="24"/>
              </w:rPr>
              <w:t xml:space="preserve"> 中泰证券、广发证券、长江证券、国泰海通证券、兴业证券、东北证券、中信证券、华福证券、平安证券、国联民生证券、光大证券、中信建投证券、国信证券、国海证券、华创证券、浙商证券、西部证券、东方证券、招商证券、申万宏源证券、霜叶投资、南方基金、天弘基金、工银瑞信基金、广发基金、泰康资产、海富通基金、汇丰晋信基金、上海瞰道资产、汇添富基金、信达澳亚基金、农银汇理、九方智投、国华兴益保险、大朴资产、平安资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
                <w:bCs/>
                <w:iCs/>
                <w:color w:val="000000"/>
                <w:sz w:val="24"/>
              </w:rPr>
            </w:pPr>
            <w:r>
              <w:rPr>
                <w:rFonts w:hint="eastAsia" w:ascii="宋体" w:hAnsi="宋体" w:eastAsia="宋体" w:cs="宋体"/>
                <w:b/>
                <w:bCs/>
                <w:iCs/>
                <w:color w:val="000000"/>
                <w:sz w:val="24"/>
              </w:rPr>
              <w:t>地点</w:t>
            </w:r>
          </w:p>
        </w:tc>
        <w:tc>
          <w:tcPr>
            <w:tcW w:w="7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Cs/>
                <w:iCs/>
                <w:color w:val="000000"/>
                <w:sz w:val="24"/>
              </w:rPr>
            </w:pPr>
            <w:r>
              <w:rPr>
                <w:rFonts w:hint="eastAsia" w:ascii="宋体" w:hAnsi="宋体" w:eastAsia="宋体" w:cs="宋体"/>
                <w:bCs/>
                <w:iCs/>
                <w:kern w:val="0"/>
                <w:sz w:val="24"/>
              </w:rPr>
              <w:t>厦门、上海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
                <w:bCs/>
                <w:iCs/>
                <w:color w:val="000000"/>
                <w:sz w:val="24"/>
              </w:rPr>
            </w:pPr>
            <w:r>
              <w:rPr>
                <w:rFonts w:hint="eastAsia" w:ascii="宋体" w:hAnsi="宋体" w:eastAsia="宋体" w:cs="宋体"/>
                <w:b/>
                <w:bCs/>
                <w:iCs/>
                <w:color w:val="000000"/>
                <w:sz w:val="24"/>
              </w:rPr>
              <w:t>公司接待人员</w:t>
            </w:r>
          </w:p>
        </w:tc>
        <w:tc>
          <w:tcPr>
            <w:tcW w:w="7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bCs/>
                <w:iCs/>
                <w:color w:val="000000"/>
                <w:sz w:val="24"/>
              </w:rPr>
            </w:pPr>
            <w:r>
              <w:rPr>
                <w:rFonts w:hint="eastAsia" w:ascii="宋体" w:hAnsi="宋体" w:eastAsia="宋体" w:cs="宋体"/>
                <w:bCs/>
                <w:iCs/>
                <w:color w:val="000000"/>
                <w:sz w:val="24"/>
              </w:rPr>
              <w:t>董事长、行长、</w:t>
            </w:r>
            <w:r>
              <w:rPr>
                <w:rFonts w:hint="eastAsia" w:ascii="宋体" w:hAnsi="宋体" w:eastAsia="宋体" w:cs="宋体"/>
                <w:bCs/>
                <w:iCs/>
                <w:color w:val="000000"/>
                <w:sz w:val="24"/>
                <w:lang w:val="en-US" w:eastAsia="zh-CN"/>
              </w:rPr>
              <w:t>独立董事代表、</w:t>
            </w:r>
            <w:r>
              <w:rPr>
                <w:rFonts w:hint="eastAsia" w:ascii="宋体" w:hAnsi="宋体" w:eastAsia="宋体" w:cs="宋体"/>
                <w:bCs/>
                <w:iCs/>
                <w:color w:val="000000"/>
                <w:sz w:val="24"/>
              </w:rPr>
              <w:t>副行长、董事会秘书、计划财务部、董事会办公室等相关部门负责人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bCs/>
                <w:iCs/>
                <w:color w:val="000000"/>
                <w:sz w:val="24"/>
              </w:rPr>
            </w:pPr>
            <w:r>
              <w:rPr>
                <w:rFonts w:hint="eastAsia" w:cs="宋体" w:asciiTheme="minorEastAsia" w:hAnsiTheme="minorEastAsia" w:eastAsiaTheme="minorEastAsia"/>
                <w:b/>
                <w:bCs/>
                <w:iCs/>
                <w:sz w:val="24"/>
              </w:rPr>
              <w:t>投资者关系活动主要内容介绍</w:t>
            </w:r>
          </w:p>
        </w:tc>
        <w:tc>
          <w:tcPr>
            <w:tcW w:w="7340" w:type="dxa"/>
            <w:tcBorders>
              <w:top w:val="single" w:color="auto" w:sz="4" w:space="0"/>
              <w:left w:val="single" w:color="auto" w:sz="4" w:space="0"/>
              <w:bottom w:val="single" w:color="auto" w:sz="4" w:space="0"/>
              <w:right w:val="single" w:color="auto" w:sz="4" w:space="0"/>
            </w:tcBorders>
          </w:tcPr>
          <w:p>
            <w:pPr>
              <w:spacing w:line="360" w:lineRule="auto"/>
              <w:ind w:firstLine="482" w:firstLineChars="200"/>
              <w:rPr>
                <w:rFonts w:ascii="宋体" w:hAnsi="宋体" w:eastAsia="宋体" w:cs="宋体"/>
                <w:b/>
                <w:bCs/>
                <w:iCs/>
                <w:color w:val="000000"/>
                <w:sz w:val="24"/>
              </w:rPr>
            </w:pPr>
            <w:bookmarkStart w:id="6" w:name="_GoBack"/>
            <w:bookmarkEnd w:id="6"/>
            <w:r>
              <w:rPr>
                <w:rFonts w:hint="eastAsia" w:ascii="宋体" w:hAnsi="宋体" w:eastAsia="宋体" w:cs="宋体"/>
                <w:b/>
                <w:bCs/>
                <w:iCs/>
                <w:color w:val="000000"/>
                <w:sz w:val="24"/>
              </w:rPr>
              <w:t>一、投资者现场问答</w:t>
            </w:r>
          </w:p>
          <w:p>
            <w:pPr>
              <w:spacing w:line="360" w:lineRule="auto"/>
              <w:ind w:firstLine="482" w:firstLineChars="200"/>
              <w:rPr>
                <w:rFonts w:ascii="宋体" w:hAnsi="宋体" w:eastAsia="宋体" w:cs="宋体"/>
                <w:b/>
                <w:bCs/>
                <w:iCs/>
                <w:color w:val="000000"/>
                <w:sz w:val="24"/>
              </w:rPr>
            </w:pPr>
            <w:r>
              <w:rPr>
                <w:rFonts w:ascii="宋体" w:hAnsi="宋体" w:eastAsia="宋体" w:cs="宋体"/>
                <w:b/>
                <w:bCs/>
                <w:iCs/>
                <w:color w:val="000000"/>
                <w:sz w:val="24"/>
              </w:rPr>
              <w:t>1.洪董事长履新以来，推动了厦门银行经营战略的显著变化，经营业绩也实现了明显提升，哪些变化因素驱动了新一轮发展？刚才洪董事长为我们介绍了厦门银行的战略主线，未来如何实现这些战略？</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感谢提问。关于我们新一轮发展的驱动因素，以及未来战略的实现路径，这两个问题具有很强的相关性和延续性，可以合并在一起回答。在我就职厦门银行这一年多里，我和全体同仁一起，做了一系列工作，主要讲三个方面：</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首先，是重塑了战略，使发展方向更加聚焦。去年，我们启动新一轮五年战略规划编制。在战略谋划过程中，我们围绕“稳”“进”“立”总体方针，统一全行发展基调，明确了</w:t>
            </w:r>
            <w:r>
              <w:rPr>
                <w:rFonts w:hint="eastAsia" w:ascii="宋体" w:hAnsi="宋体" w:eastAsia="宋体" w:cs="宋体"/>
                <w:iCs/>
                <w:color w:val="000000"/>
                <w:sz w:val="24"/>
              </w:rPr>
              <w:t>扎根厦门、</w:t>
            </w:r>
            <w:r>
              <w:rPr>
                <w:rFonts w:ascii="宋体" w:hAnsi="宋体" w:eastAsia="宋体" w:cs="宋体"/>
                <w:iCs/>
                <w:color w:val="000000"/>
                <w:sz w:val="24"/>
              </w:rPr>
              <w:t>深耕福建、服务两岸、聚焦实体的核心路径，希望构建层次更加分明、协同更为有力、特色更加鲜明的发展新局面。为了把战略意图转化为实实在在的行动方案，我们重点调整了“三大策略”，分别是：业务策略、客户策略和差异化策略，集中力量抓重点、带全局。这些措施为我行全年经营业绩奠定了基本盘，过往一年，全行各项业绩稳步向好，发展根基持续夯实，这更加坚定了我们的战略选择。</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其次，是启动了改革，使内生动能得以激活。去年二季度，我们正式启动改革，坚持广开言路、充分调研，面向同业、客户和员工等群体，广泛征集意见建议，并开通了“董事长信箱”，从不同角度做了几轮调研</w:t>
            </w:r>
            <w:r>
              <w:rPr>
                <w:rFonts w:hint="eastAsia" w:ascii="宋体" w:hAnsi="宋体" w:eastAsia="宋体" w:cs="宋体"/>
                <w:iCs/>
                <w:color w:val="000000"/>
                <w:sz w:val="24"/>
              </w:rPr>
              <w:t>，</w:t>
            </w:r>
            <w:r>
              <w:rPr>
                <w:rFonts w:ascii="宋体" w:hAnsi="宋体" w:eastAsia="宋体" w:cs="宋体"/>
                <w:iCs/>
                <w:color w:val="000000"/>
                <w:sz w:val="24"/>
              </w:rPr>
              <w:t>聚焦大家反馈的重点改革诉求，自上而下系统推进，并推动自下而上全员积极参与。我们去年改革的重心聚焦在人力资源政策、考核激励约束、资源配置、绩效薪酬管理、风险管理政策、业技融合和管理优化等领域。当前，各项措施正在落地见效，大大激发了我们的内在发展动能，经营活力显著增强，发展潜能显著提升。</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三，是凝聚了合力，使转型发展更有信心。过去一年，全行持续加强党的建设和党的领导，我们充分融合和发挥股东、董监高及各级干部员工的集体智慧，同心聚力、攻坚克难，市场信心显著增强，市场与客户对我行的认可度、信任度不断提升，有力助推存贷款业务增长、客户拓展与业务合作深化，发展环境持续优化。</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总</w:t>
            </w:r>
            <w:r>
              <w:rPr>
                <w:rFonts w:hint="eastAsia" w:ascii="宋体" w:hAnsi="宋体" w:eastAsia="宋体" w:cs="宋体"/>
                <w:iCs/>
                <w:color w:val="000000"/>
                <w:sz w:val="24"/>
              </w:rPr>
              <w:t>体</w:t>
            </w:r>
            <w:r>
              <w:rPr>
                <w:rFonts w:ascii="宋体" w:hAnsi="宋体" w:eastAsia="宋体" w:cs="宋体"/>
                <w:iCs/>
                <w:color w:val="000000"/>
                <w:sz w:val="24"/>
              </w:rPr>
              <w:t>来看，厦门银行过去一年的发展变化，是战略重塑、改革推进、凝聚合力的共同结果。新的战略规划期，我们将接续过往成效，沿用有效举措，调动各方力量，把各项工作做深做实做透。</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一是提升战略执行力。经过一年系统谋划，我行已明确“12345”整体战略布局，刚才吴行长也简要介绍过了。下阶段，关键是“抓落实”。当前，各家银行战略规划趋同、发展思路相近，但发展成效分化明显，关键区别在于战略执行力。我们将加强战略解码，优化战略执行机制，强化总行引领、分行落地、部门协同，确保各项部署落地见效。同时，紧贴市场形势变化，做好战略监测和战略修正，确保发展方向精准适配新形势、新要求。</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二是打好改革攻坚战。我行的改革在去年陆续铺开，但进度不一。今年，我们要坚定改革决心，尤其要打好“人才立行”和“业技融合”两大改革攻坚战，解决好我们发展的“软实力”和“硬支撑”问题。改革关键还是要靠我们自身主动求变、协同攻坚、集中力量、久久为功，真正把关键机制和能力建起来，让改革红利更快更多释放出来。</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时间是检验一切的标准，我们将锚定战略目标，以持续优化的经营质效、稳健的资产质量和稳定的股东回报，讲好厦门银行的发展故事。</w:t>
            </w:r>
          </w:p>
          <w:p>
            <w:pPr>
              <w:spacing w:line="360" w:lineRule="auto"/>
              <w:rPr>
                <w:rFonts w:ascii="宋体" w:hAnsi="宋体" w:eastAsia="宋体" w:cs="宋体"/>
                <w:iCs/>
                <w:color w:val="000000"/>
                <w:sz w:val="24"/>
              </w:rPr>
            </w:pPr>
          </w:p>
          <w:p>
            <w:pPr>
              <w:spacing w:line="360" w:lineRule="auto"/>
              <w:ind w:firstLine="482" w:firstLineChars="200"/>
              <w:rPr>
                <w:rFonts w:ascii="宋体" w:hAnsi="宋体" w:eastAsia="宋体" w:cs="宋体"/>
                <w:b/>
                <w:bCs/>
                <w:iCs/>
                <w:color w:val="000000"/>
                <w:sz w:val="24"/>
              </w:rPr>
            </w:pPr>
            <w:r>
              <w:rPr>
                <w:rFonts w:ascii="宋体" w:hAnsi="宋体" w:eastAsia="宋体" w:cs="宋体"/>
                <w:b/>
                <w:bCs/>
                <w:iCs/>
                <w:color w:val="000000"/>
                <w:sz w:val="24"/>
              </w:rPr>
              <w:t>2.两岸金融业务是厦门银行的特色业务，也是优势业务，请管理层介绍在两岸金融方面，厦门银行有什么独特优势，以及2026年对台业务整体发展规划与未来展望？</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感谢提问。关于我行在两岸金融方面的独特优势，总结为三点：</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第一，区位优势与股东背景。福建厦门，是台胞台企登陆的第一站，这天然决定了我行要走两岸特色这条路。加上台资股东背景，让我行在与台企台胞的交流合作中，能多一层理解与互动。</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二，文化融合与团队专业。2008年台资股东加入后，我行的文化和同事面貌已在某种程度上融入了台湾元素。客户经理服务台企台胞时，亲切度和语言沟通相对同业更贴近。同时，我行建立了总行—分行—支行的三层专业团队架构，</w:t>
            </w:r>
            <w:r>
              <w:rPr>
                <w:rFonts w:hint="eastAsia" w:ascii="宋体" w:hAnsi="宋体" w:eastAsia="宋体" w:cs="宋体"/>
                <w:iCs/>
                <w:color w:val="000000"/>
                <w:sz w:val="24"/>
              </w:rPr>
              <w:t>配置</w:t>
            </w:r>
            <w:r>
              <w:rPr>
                <w:rFonts w:ascii="宋体" w:hAnsi="宋体" w:eastAsia="宋体" w:cs="宋体"/>
                <w:iCs/>
                <w:color w:val="000000"/>
                <w:sz w:val="24"/>
              </w:rPr>
              <w:t>专人服务台企台胞。</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第三，我行愿意持续投入资源，不仅因为两岸金融是特色使命，更因为这是打磨全行能力的重要</w:t>
            </w:r>
            <w:r>
              <w:rPr>
                <w:rFonts w:hint="eastAsia" w:ascii="宋体" w:hAnsi="宋体" w:eastAsia="宋体" w:cs="宋体"/>
                <w:iCs/>
                <w:color w:val="000000"/>
                <w:sz w:val="24"/>
                <w:lang w:val="en-US" w:eastAsia="zh-CN"/>
              </w:rPr>
              <w:t>切入点</w:t>
            </w:r>
            <w:r>
              <w:rPr>
                <w:rFonts w:ascii="宋体" w:hAnsi="宋体" w:eastAsia="宋体" w:cs="宋体"/>
                <w:iCs/>
                <w:color w:val="000000"/>
                <w:sz w:val="24"/>
              </w:rPr>
              <w:t>。通过深入研究台企台胞需求、针对痛点设计产品和服务，练兵过程中积累的能力可复用至传统客群。从业务需求本质看，台企台胞与我行传统客户并无太多不同。以金融“五篇大文章”为例，对公端的科技金融、绿色金融、普惠金融，台企在科技发展上相对先进，在ESG和绿色金融上条件与需求突出，中小台企的普惠金融需求同样一致。因此，服务台企台胞的过程，本身就是我行写好“五篇大文章”的实战演练。台湾更早进入老龄化社会，台胞在养老金融、数字金融上需求更成熟；台胞初到大陆，本身就是一种新市民。我行通过服务新进台胞的一整套需求，所得经验即可运用于对新市民群体的服务。</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综上，我们并不只看台企台胞单一客群的业务量贡献，更看重通过这一客群的服务经验，辐射并提升我行对所有客户的服务能级。展望2026年，一方面我行将坚持扩大台企台胞覆盖面，特定区域争取全覆盖；另一方面，会更加紧贴两岸金融业务与“五篇大文章”的相互契合，将练兵场练就的能力进一步传导并影响全行业务。</w:t>
            </w:r>
          </w:p>
          <w:p>
            <w:pPr>
              <w:spacing w:line="360" w:lineRule="auto"/>
              <w:rPr>
                <w:rFonts w:ascii="宋体" w:hAnsi="宋体" w:eastAsia="宋体" w:cs="宋体"/>
                <w:iCs/>
                <w:color w:val="000000"/>
                <w:sz w:val="24"/>
              </w:rPr>
            </w:pPr>
          </w:p>
          <w:p>
            <w:pPr>
              <w:spacing w:line="360" w:lineRule="auto"/>
              <w:ind w:firstLine="482" w:firstLineChars="200"/>
              <w:rPr>
                <w:rFonts w:ascii="宋体" w:hAnsi="宋体" w:eastAsia="宋体" w:cs="宋体"/>
                <w:b/>
                <w:bCs/>
                <w:iCs/>
                <w:color w:val="000000"/>
                <w:sz w:val="24"/>
              </w:rPr>
            </w:pPr>
            <w:r>
              <w:rPr>
                <w:rFonts w:ascii="宋体" w:hAnsi="宋体" w:eastAsia="宋体" w:cs="宋体"/>
                <w:b/>
                <w:bCs/>
                <w:iCs/>
                <w:color w:val="000000"/>
                <w:sz w:val="24"/>
              </w:rPr>
              <w:t>3.2025年厦门银行资产质量总体保持稳定，不良贷款率维持较低水平，但零售、小微风险面临风险持续暴露的压力，有何管控措施？如何展望后续不良生成变化趋势？</w:t>
            </w:r>
          </w:p>
          <w:p>
            <w:pPr>
              <w:spacing w:line="360" w:lineRule="auto"/>
              <w:rPr>
                <w:rFonts w:ascii="宋体" w:hAnsi="宋体" w:eastAsia="宋体" w:cs="宋体"/>
                <w:iCs/>
                <w:color w:val="000000"/>
                <w:sz w:val="24"/>
              </w:rPr>
            </w:pPr>
            <w:r>
              <w:rPr>
                <w:rFonts w:ascii="宋体" w:hAnsi="宋体" w:eastAsia="宋体" w:cs="宋体"/>
                <w:iCs/>
                <w:color w:val="000000"/>
                <w:sz w:val="24"/>
              </w:rPr>
              <w:t xml:space="preserve">   感谢提问。截至2025年末我行整体不良率0.77%，保持稳健。其中，个人贷款不良率1.34%；对公贷款业务呈现小微企业不良多发的情况。可以说资产质量整体稳定，但零售与小微贷款风险防控仍然持续承压。</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我行当前面临的主要挑战包括：一方面，部分借款主体经营效益下滑、现金流承压，还款能力弱化；另一方面，房地产市场仍在调整，抵押物估值存在下行压力，处置周期有所延长，这在一定程度上削弱了担保措施的效力。为有效应对上述风险，我行持续采取以下针对性措施，强化风险全流程管控：</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（1）前置设防：夯实贷前准入根基，源头严把风险关口</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一是精细化风控策略体系。分层细化行业投向、区域准入、客群资质核心标准，搭建差异化、适配化风控策略，从源头把控风险。</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二是数智化赋能风险识别。全面优化内部评级体系，依托科技手段提升风险识别的科学性、精准度与前瞻预判能力，赋能前置风控研判。</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（2）闭环管控：强化贷后风险管理，全域提升化解效能</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一是智能化迭代预警监测体系。细化核心风险点的预警规则并持续迭代优化；健全押品估值下跌预警触发机制；深化智能贷后体系，提升预警的及时性与精准度。</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二是全流程压实分层管理责任。构建覆盖放款执行至核销清收的全流程贷后管理体系，明确总、分、支行在贷后管理中的分层责任及管理侧重，强化区域风险管控能力，提升风险响应速度。</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（3）攻坚清收：加大不良处置力度，分类筑牢资产防线</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对于不良贷款等特殊资产持续加大清收处置力度。在总行成立了专营的特殊资产经营部，建立专业团队加强资产处置质效。方式上综合运用司法清收、资产转让、协商偿还、贷款重组等手段，提升不良资产回收比例、缩短回收周期。</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展望今年及未来一段时间，宏观上，经济持续发展，居民收入预期增长，微观上，我行将通过风险管理能力的改进、经营水平的提升不断增强风险抵御能力，切实有效管控好零售和小微的资产质量。我行将持之以恒抓实风险全流程管理，锚定风控关键环节精准发力，多措并举稳固经营底盘，推动全行资产质量持续稳步向好。</w:t>
            </w:r>
          </w:p>
          <w:p>
            <w:pPr>
              <w:spacing w:line="360" w:lineRule="auto"/>
              <w:rPr>
                <w:rFonts w:ascii="宋体" w:hAnsi="宋体" w:eastAsia="宋体" w:cs="宋体"/>
                <w:iCs/>
                <w:color w:val="000000"/>
                <w:sz w:val="24"/>
              </w:rPr>
            </w:pPr>
          </w:p>
          <w:p>
            <w:pPr>
              <w:spacing w:line="360" w:lineRule="auto"/>
              <w:ind w:firstLine="482" w:firstLineChars="200"/>
              <w:rPr>
                <w:rFonts w:ascii="宋体" w:hAnsi="宋体" w:eastAsia="宋体" w:cs="宋体"/>
                <w:b/>
                <w:bCs/>
                <w:iCs/>
                <w:color w:val="000000"/>
                <w:sz w:val="24"/>
              </w:rPr>
            </w:pPr>
            <w:r>
              <w:rPr>
                <w:rFonts w:ascii="宋体" w:hAnsi="宋体" w:eastAsia="宋体" w:cs="宋体"/>
                <w:b/>
                <w:bCs/>
                <w:iCs/>
                <w:color w:val="000000"/>
                <w:sz w:val="24"/>
              </w:rPr>
              <w:t>4.2025年厦门银行净息差收窄幅度较上一年有所改善，但仍处于较低水平，公司将采取哪些措施稳定息差？预计资产端和负债端如何变化？全年如何展望？</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感谢提问。息差偏低与我行经营区域</w:t>
            </w:r>
            <w:r>
              <w:rPr>
                <w:rFonts w:hint="eastAsia" w:ascii="宋体" w:hAnsi="宋体" w:eastAsia="宋体" w:cs="宋体"/>
                <w:iCs/>
                <w:color w:val="000000"/>
                <w:sz w:val="24"/>
              </w:rPr>
              <w:t>有比较</w:t>
            </w:r>
            <w:r>
              <w:rPr>
                <w:rFonts w:ascii="宋体" w:hAnsi="宋体" w:eastAsia="宋体" w:cs="宋体"/>
                <w:iCs/>
                <w:color w:val="000000"/>
                <w:sz w:val="24"/>
              </w:rPr>
              <w:t>直接</w:t>
            </w:r>
            <w:r>
              <w:rPr>
                <w:rFonts w:hint="eastAsia" w:ascii="宋体" w:hAnsi="宋体" w:eastAsia="宋体" w:cs="宋体"/>
                <w:iCs/>
                <w:color w:val="000000"/>
                <w:sz w:val="24"/>
              </w:rPr>
              <w:t>的关系</w:t>
            </w:r>
            <w:r>
              <w:rPr>
                <w:rFonts w:ascii="宋体" w:hAnsi="宋体" w:eastAsia="宋体" w:cs="宋体"/>
                <w:iCs/>
                <w:color w:val="000000"/>
                <w:sz w:val="24"/>
              </w:rPr>
              <w:t>。福建、厦门在全国属贷款利率洼地，这一特征明显，我们必须正视现实，持续推动息差改善。经历近两三年LPR持续下行，我行2025年实现净利差企稳。今年一季度，息差与利差已止跌回升。这说明过去一两年执行的策略方向正确，后续将持续推进。</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第一，资产端大类资产配置上，对公业务利差大于零售，零售利差大于金融市场</w:t>
            </w:r>
            <w:r>
              <w:rPr>
                <w:rFonts w:hint="eastAsia" w:ascii="宋体" w:hAnsi="宋体" w:eastAsia="宋体" w:cs="宋体"/>
                <w:iCs/>
                <w:color w:val="000000"/>
                <w:sz w:val="24"/>
              </w:rPr>
              <w:t>业务</w:t>
            </w:r>
            <w:r>
              <w:rPr>
                <w:rFonts w:ascii="宋体" w:hAnsi="宋体" w:eastAsia="宋体" w:cs="宋体"/>
                <w:iCs/>
                <w:color w:val="000000"/>
                <w:sz w:val="24"/>
              </w:rPr>
              <w:t>。因此，提升对公业务占比，自然带动整体</w:t>
            </w:r>
            <w:r>
              <w:rPr>
                <w:rFonts w:hint="eastAsia" w:ascii="宋体" w:hAnsi="宋体" w:eastAsia="宋体" w:cs="宋体"/>
                <w:iCs/>
                <w:color w:val="000000"/>
                <w:sz w:val="24"/>
              </w:rPr>
              <w:t>资产端</w:t>
            </w:r>
            <w:r>
              <w:rPr>
                <w:rFonts w:ascii="宋体" w:hAnsi="宋体" w:eastAsia="宋体" w:cs="宋体"/>
                <w:iCs/>
                <w:color w:val="000000"/>
                <w:sz w:val="24"/>
              </w:rPr>
              <w:t>收益率</w:t>
            </w:r>
            <w:r>
              <w:rPr>
                <w:rFonts w:hint="eastAsia" w:ascii="宋体" w:hAnsi="宋体" w:eastAsia="宋体" w:cs="宋体"/>
                <w:iCs/>
                <w:color w:val="000000"/>
                <w:sz w:val="24"/>
              </w:rPr>
              <w:t>降幅</w:t>
            </w:r>
            <w:r>
              <w:rPr>
                <w:rFonts w:ascii="宋体" w:hAnsi="宋体" w:eastAsia="宋体" w:cs="宋体"/>
                <w:iCs/>
                <w:color w:val="000000"/>
                <w:sz w:val="24"/>
              </w:rPr>
              <w:t>改善。这也是去年加大对公贷款投放的原因。</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贷款定价方面，我行实行差异化管理。普惠小微及零售领域，特别注重风险定价，我行在风控上保持审慎。同时，</w:t>
            </w:r>
            <w:r>
              <w:rPr>
                <w:rFonts w:hint="eastAsia" w:ascii="宋体" w:hAnsi="宋体" w:eastAsia="宋体" w:cs="宋体"/>
                <w:iCs/>
                <w:color w:val="000000"/>
                <w:sz w:val="24"/>
              </w:rPr>
              <w:t>针对不同的客群，</w:t>
            </w:r>
            <w:r>
              <w:rPr>
                <w:rFonts w:ascii="宋体" w:hAnsi="宋体" w:eastAsia="宋体" w:cs="宋体"/>
                <w:iCs/>
                <w:color w:val="000000"/>
                <w:sz w:val="24"/>
              </w:rPr>
              <w:t>我行也看重贷款能否带来客户综合收益，尤其是活期存款沉淀。</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存款端，通过压降存款成本</w:t>
            </w:r>
            <w:r>
              <w:rPr>
                <w:rFonts w:hint="eastAsia" w:ascii="宋体" w:hAnsi="宋体" w:eastAsia="宋体" w:cs="宋体"/>
                <w:iCs/>
                <w:color w:val="000000"/>
                <w:sz w:val="24"/>
              </w:rPr>
              <w:t>率</w:t>
            </w:r>
            <w:r>
              <w:rPr>
                <w:rFonts w:ascii="宋体" w:hAnsi="宋体" w:eastAsia="宋体" w:cs="宋体"/>
                <w:iCs/>
                <w:color w:val="000000"/>
                <w:sz w:val="24"/>
              </w:rPr>
              <w:t>，力求降幅超过资产端收益率降幅以改善利差。资产端收益率持续下行是市场趋势，唯有存款成本压降更快，才能实现息差、利差改善。首要任务是全力提升活期存款占比。去年全行活期存款日均占比提升2.4个百分点，贡献显著，但仍有较大提升空间。对公端，通过交易银行建设与服务渠道优化，重点引入结算性存款。零售端，加大薪资代发及收单业务拓展，推动零售活期存款增长。</w:t>
            </w:r>
            <w:r>
              <w:rPr>
                <w:rFonts w:hint="eastAsia" w:ascii="宋体" w:hAnsi="宋体" w:eastAsia="宋体" w:cs="宋体"/>
                <w:iCs/>
                <w:color w:val="000000"/>
                <w:sz w:val="24"/>
              </w:rPr>
              <w:t>同时，在</w:t>
            </w:r>
            <w:r>
              <w:rPr>
                <w:rFonts w:ascii="宋体" w:hAnsi="宋体" w:eastAsia="宋体" w:cs="宋体"/>
                <w:iCs/>
                <w:color w:val="000000"/>
                <w:sz w:val="24"/>
              </w:rPr>
              <w:t>定期存款定价管理上，我行坚持做好定价管控。去年存款成本下降主要贡献来自对公，下降51个bp，零售端仅下降2</w:t>
            </w:r>
            <w:r>
              <w:rPr>
                <w:rFonts w:hint="eastAsia" w:ascii="宋体" w:hAnsi="宋体" w:eastAsia="宋体" w:cs="宋体"/>
                <w:iCs/>
                <w:color w:val="000000"/>
                <w:sz w:val="24"/>
              </w:rPr>
              <w:t>2</w:t>
            </w:r>
            <w:r>
              <w:rPr>
                <w:rFonts w:ascii="宋体" w:hAnsi="宋体" w:eastAsia="宋体" w:cs="宋体"/>
                <w:iCs/>
                <w:color w:val="000000"/>
                <w:sz w:val="24"/>
              </w:rPr>
              <w:t>个bp。今年格局将有较大转变，零售存款成本有望更明显下降。</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综上，对于今年利差、息差延续一季度止跌回升态势，我行相对有信心。</w:t>
            </w:r>
          </w:p>
          <w:p>
            <w:pPr>
              <w:spacing w:line="360" w:lineRule="auto"/>
              <w:rPr>
                <w:rFonts w:ascii="宋体" w:hAnsi="宋体" w:eastAsia="宋体" w:cs="宋体"/>
                <w:iCs/>
                <w:color w:val="000000"/>
                <w:sz w:val="24"/>
              </w:rPr>
            </w:pPr>
          </w:p>
          <w:p>
            <w:pPr>
              <w:spacing w:line="360" w:lineRule="auto"/>
              <w:ind w:firstLine="482" w:firstLineChars="200"/>
              <w:rPr>
                <w:rFonts w:ascii="宋体" w:hAnsi="宋体" w:eastAsia="宋体" w:cs="宋体"/>
                <w:b/>
                <w:bCs/>
                <w:iCs/>
                <w:color w:val="000000"/>
                <w:sz w:val="24"/>
              </w:rPr>
            </w:pPr>
            <w:r>
              <w:rPr>
                <w:rFonts w:ascii="宋体" w:hAnsi="宋体" w:eastAsia="宋体" w:cs="宋体"/>
                <w:b/>
                <w:bCs/>
                <w:iCs/>
                <w:color w:val="000000"/>
                <w:sz w:val="24"/>
              </w:rPr>
              <w:t>5.贵行2025年的贷款增速明显加快，核心是对公贷款增速明显加快，想请问对公贷款主要投向什么方向，目标客群主要是哪些，未来贷款是否会继续保持较高增速？</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感谢提问。关于25年对公贷款情况，您提到的对公贷款增速明显加快，25年我行对公一般贷款增速约为35.85%，确实是近年来增额及增速最高的一年。在总量、增速保持较快增长的同时，我们通过主动服务福建省及重庆市经济发展大局，抢抓市场机遇，坚持专业化、差异化、特色化经营策略，对公信贷投向、客群、期限、产品呈现结构优化的良好局面。</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一是坚守城商行发展定位，坚守服务民营、小微企业初心。25年民营小微企业贷款稳中有升，巩固了民营、小微企业金融服务的既有优势，实现了“保量、提质、稳价、优结构”的目标。25年末银行单体，民营企业贷款占总贷款比重超过50%，普惠小微企业贷款占一般贷款比重超过35%，这两个占比数据在城商行中都名列前茅。</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二是主动融入福建及重庆经济发展大局，挖掘省市重点项目、城市建设、国企改革、资产盘活等领域的信贷需求，国企政信贷款增速较快，成为信贷增长的主力军，不仅弥补了国企政信金融服务短板，同时也优化了信贷客群结构、产品结构及期限结构，进一步强化了对实体经济的支持力度。</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三是坚持专业化、特色化经营，写好金融五篇大文章。2025年全行绿色信贷增速68.55%，连续三年绿色信贷增速超过60%</w:t>
            </w:r>
            <w:r>
              <w:rPr>
                <w:rFonts w:hint="eastAsia" w:ascii="宋体" w:hAnsi="宋体" w:eastAsia="宋体" w:cs="宋体"/>
                <w:iCs/>
                <w:color w:val="000000"/>
                <w:sz w:val="24"/>
              </w:rPr>
              <w:t>，</w:t>
            </w:r>
            <w:r>
              <w:rPr>
                <w:rFonts w:hint="eastAsia" w:ascii="宋体" w:hAnsi="宋体" w:eastAsia="宋体" w:cs="宋体"/>
                <w:sz w:val="24"/>
              </w:rPr>
              <w:t>绿色信贷客户数增速达到39.28%</w:t>
            </w:r>
            <w:r>
              <w:rPr>
                <w:rFonts w:ascii="宋体" w:hAnsi="宋体" w:eastAsia="宋体" w:cs="宋体"/>
                <w:iCs/>
                <w:color w:val="000000"/>
                <w:sz w:val="24"/>
              </w:rPr>
              <w:t>；科技贷款增速44.55%，专精特新企业贷款增速超过40%，战略新兴行业贷款增速超过80%。普惠小微贷款占比继续在上市城商行中领跑。此外，在我行特色台商金融业务中，2025年台企贷款增速56%</w:t>
            </w:r>
            <w:r>
              <w:rPr>
                <w:rFonts w:hint="eastAsia" w:ascii="宋体" w:hAnsi="宋体" w:eastAsia="宋体" w:cs="宋体"/>
                <w:iCs/>
                <w:color w:val="000000"/>
                <w:sz w:val="24"/>
              </w:rPr>
              <w:t>，其中台企贷款中的科技贷款增速超过了49%，绿色贷款增速更高。普惠小微台企贷款增长13%，彰显了我行特色业务方面的优势以及它的标杆作用。</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2026年是十五五开局之年，我行对公信贷领域将紧扣十五五规划谋篇布局，根据全行2+3战略绘就的设计图和施工图，以提升对公信贷服务能力为抓手，以</w:t>
            </w:r>
            <w:r>
              <w:rPr>
                <w:rFonts w:hint="eastAsia" w:ascii="宋体" w:hAnsi="宋体" w:eastAsia="宋体" w:cs="宋体"/>
                <w:iCs/>
                <w:color w:val="000000"/>
                <w:sz w:val="24"/>
              </w:rPr>
              <w:t>“</w:t>
            </w:r>
            <w:r>
              <w:rPr>
                <w:rFonts w:ascii="宋体" w:hAnsi="宋体" w:eastAsia="宋体" w:cs="宋体"/>
                <w:iCs/>
                <w:color w:val="000000"/>
                <w:sz w:val="24"/>
              </w:rPr>
              <w:t>深耕福建、产业+场景、G-B-C联动</w:t>
            </w:r>
            <w:r>
              <w:rPr>
                <w:rFonts w:hint="eastAsia" w:ascii="宋体" w:hAnsi="宋体" w:eastAsia="宋体" w:cs="宋体"/>
                <w:iCs/>
                <w:color w:val="000000"/>
                <w:sz w:val="24"/>
              </w:rPr>
              <w:t>”</w:t>
            </w:r>
            <w:r>
              <w:rPr>
                <w:rFonts w:ascii="宋体" w:hAnsi="宋体" w:eastAsia="宋体" w:cs="宋体"/>
                <w:iCs/>
                <w:color w:val="000000"/>
                <w:sz w:val="24"/>
              </w:rPr>
              <w:t>为主线，拓展信贷增长新空间，在产业金融、服务业特色领域发力，平衡好信贷的规模、结构以及资产质量之间的关系</w:t>
            </w:r>
            <w:r>
              <w:rPr>
                <w:rFonts w:hint="eastAsia" w:ascii="宋体" w:hAnsi="宋体" w:eastAsia="宋体" w:cs="宋体"/>
                <w:iCs/>
                <w:color w:val="000000"/>
                <w:sz w:val="24"/>
              </w:rPr>
              <w:t>，</w:t>
            </w:r>
            <w:r>
              <w:rPr>
                <w:rFonts w:ascii="宋体" w:hAnsi="宋体" w:eastAsia="宋体" w:cs="宋体"/>
                <w:iCs/>
                <w:color w:val="000000"/>
                <w:sz w:val="24"/>
              </w:rPr>
              <w:t>预计信贷投放仍将保持较快增长。今年一季度，集团对公贷款余额较上年末增长160.6亿元，同比多增86.4亿元</w:t>
            </w:r>
            <w:r>
              <w:rPr>
                <w:rFonts w:hint="eastAsia" w:ascii="宋体" w:hAnsi="宋体" w:eastAsia="宋体" w:cs="宋体"/>
                <w:iCs/>
                <w:color w:val="000000"/>
                <w:sz w:val="24"/>
              </w:rPr>
              <w:t>，</w:t>
            </w:r>
            <w:r>
              <w:rPr>
                <w:rFonts w:ascii="宋体" w:hAnsi="宋体" w:eastAsia="宋体" w:cs="宋体"/>
                <w:iCs/>
                <w:color w:val="000000"/>
                <w:sz w:val="24"/>
              </w:rPr>
              <w:t>对公贷款投放实现良好开局。</w:t>
            </w:r>
          </w:p>
          <w:p>
            <w:pPr>
              <w:spacing w:line="360" w:lineRule="auto"/>
              <w:rPr>
                <w:rFonts w:ascii="宋体" w:hAnsi="宋体" w:eastAsia="宋体" w:cs="宋体"/>
                <w:iCs/>
                <w:color w:val="000000"/>
                <w:sz w:val="24"/>
              </w:rPr>
            </w:pPr>
          </w:p>
          <w:p>
            <w:pPr>
              <w:spacing w:line="360" w:lineRule="auto"/>
              <w:ind w:firstLine="482" w:firstLineChars="200"/>
              <w:rPr>
                <w:rFonts w:ascii="宋体" w:hAnsi="宋体" w:eastAsia="宋体" w:cs="宋体"/>
                <w:b/>
                <w:bCs/>
                <w:iCs/>
                <w:color w:val="000000"/>
                <w:sz w:val="24"/>
              </w:rPr>
            </w:pPr>
            <w:r>
              <w:rPr>
                <w:rFonts w:ascii="宋体" w:hAnsi="宋体" w:eastAsia="宋体" w:cs="宋体"/>
                <w:b/>
                <w:bCs/>
                <w:iCs/>
                <w:color w:val="000000"/>
                <w:sz w:val="24"/>
              </w:rPr>
              <w:t>6.2025年贵行零售客户数、客户AUM实现较好增长，在获客和经营上有何策略？2026年零售业务会在哪些方面重点发力？</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感谢提问。2025年，我行零售业务始终坚守高质量发展导向，全力以赴抓获客、强经营、优服务、促转型，实现客户和规模较好的增长。具体来看，我们重点推进三个方面的工作：</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一，做大做实客群，提升结算性存款获取能力。我们聚焦结算性存款获取能力提升，重点抓好三大获客入口。一是深耕代发、收单核心业务，通过批量获客与综合经营相结合，实现客群规模和业务贡献的双向提升；二是利用定期存款、现金类理财等“钩子产品”和“厦金同城卡”和“闽台安居贷”等台胞特色产品拓展规模，同时结合客户</w:t>
            </w:r>
            <w:r>
              <w:rPr>
                <w:rFonts w:hint="eastAsia" w:ascii="宋体" w:hAnsi="宋体" w:eastAsia="宋体" w:cs="宋体"/>
                <w:sz w:val="24"/>
              </w:rPr>
              <w:t>日常的经营周转金的需求</w:t>
            </w:r>
            <w:r>
              <w:rPr>
                <w:rFonts w:ascii="宋体" w:hAnsi="宋体" w:eastAsia="宋体" w:cs="宋体"/>
                <w:iCs/>
                <w:color w:val="000000"/>
                <w:sz w:val="24"/>
              </w:rPr>
              <w:t>，提升客户结算贡献；三是依托快捷支付和各类丰富的权益活动，精准触达并培育结算客户。得益于以上举措，2025年我行零售客户增量较上年同比多增50%。</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二，做深做精大财富，提升客户深度经营能力。我们坚持获客与经营并重：一方面依靠多场景获客、客户转介绍，扩大财富客户规模；另一方面推行分层分类经营策略，长尾客户依托数字化运营，价值客户由理财经理专业服务，持续做强价值客群。截至2025年末，我行零售AUM余额超过1200亿元，较上年增长15%。</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三，做精做实效能，提升数字化经营管理能力。2025年，我们全力打造上线数字化协同营销工具及客户经营平台——“厦e站”，通过整合各类营销活动、客户权益及优质商户资源，推出系列主题活动，着力培养客户用卡习惯，持续提升客户活跃度与结算交易量。“厦e站”上线仅半年时间，累计访问客户数已超过36万户，成为我行触达客户、服务客户、经营客户的重要数字化载体。</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2026年，我行零售业务将乘势而上、精准发力，聚焦五大重点方向，推动零售业务高质量发展再上新台阶：</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一，强客基，筑牢发展根基。2026年，我们将依托核心场景与数字化工具实现批量获客，升级代发、收单等核心渠道，以“厦e站”为重要载体拓展获客新路径；同时，稳住传统优势客群，培育新锐增长客群，挖掘潜力客群，深化分层分类经营，充分激发客群经营内部活力，持续做大做实客群基本盘。</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二，优结构，提升经营效益。一方面我们将优化产品结构，完善全品类产品货架，精准贴合不同客群的差异化需求；另一方面优化业务结构，稳步筑牢零售贷款基盘，并将财富管理业务作为发展重点，着力拓展低成本结算资金，提升中间业务收入占比，实现效益质效双提升。</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三，精数智，强化科技赋能。我们将紧跟全行战略部署，持续优化客户全生命周期智能运营体系，升级“厦e站”服务平台，迭代优化员工展业工具，通过科技赋能，实现运营效率与客户服务体验双向提升，为零售业务发展注入数字动能。</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第四，健体系，锻造过硬队伍。我们将重点组建专业化零售业务团队，开展实战化培训，完善科学考核</w:t>
            </w:r>
            <w:r>
              <w:rPr>
                <w:rFonts w:hint="eastAsia" w:ascii="宋体" w:hAnsi="宋体" w:eastAsia="宋体" w:cs="宋体"/>
                <w:iCs/>
                <w:color w:val="000000"/>
                <w:sz w:val="24"/>
              </w:rPr>
              <w:t>激励</w:t>
            </w:r>
            <w:r>
              <w:rPr>
                <w:rFonts w:ascii="宋体" w:hAnsi="宋体" w:eastAsia="宋体" w:cs="宋体"/>
                <w:iCs/>
                <w:color w:val="000000"/>
                <w:sz w:val="24"/>
              </w:rPr>
              <w:t>机制，畅通人才转岗与成长通道；健全协同经营机制，深化公私联动效能；同时强化智能风控体系建设，严守合规经营底线，凝聚全员发展合力。</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五，塑品牌，提升市场认可。我们将持续加强品牌建设，结合我行30周年庆典，策划系列主题营销活动，丰富品牌内涵、传递品牌温度，不断提升我行零售业务品牌影响力与市场认可度，增强客户粘性与品牌忠诚度。</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2026年，我们将凝心聚力、真抓实干，持续巩固发展优势、破解发展难题，奋力推动零售业务实现更高质量、更可持续的发展。</w:t>
            </w:r>
          </w:p>
          <w:p>
            <w:pPr>
              <w:spacing w:line="360" w:lineRule="auto"/>
              <w:rPr>
                <w:rFonts w:ascii="宋体" w:hAnsi="宋体" w:eastAsia="宋体" w:cs="宋体"/>
                <w:iCs/>
                <w:color w:val="000000"/>
                <w:sz w:val="24"/>
              </w:rPr>
            </w:pPr>
          </w:p>
          <w:p>
            <w:pPr>
              <w:spacing w:line="360" w:lineRule="auto"/>
              <w:ind w:firstLine="482" w:firstLineChars="200"/>
              <w:rPr>
                <w:rFonts w:ascii="宋体" w:hAnsi="宋体" w:eastAsia="宋体" w:cs="宋体"/>
                <w:b/>
                <w:bCs/>
                <w:iCs/>
                <w:color w:val="000000"/>
                <w:sz w:val="24"/>
              </w:rPr>
            </w:pPr>
            <w:r>
              <w:rPr>
                <w:rFonts w:ascii="宋体" w:hAnsi="宋体" w:eastAsia="宋体" w:cs="宋体"/>
                <w:b/>
                <w:bCs/>
                <w:iCs/>
                <w:color w:val="000000"/>
                <w:sz w:val="24"/>
              </w:rPr>
              <w:t>7.当前人工智能（AI）技术发展正深度影响金融行业，厦门银行年报也提到数字化转型发展战略，请问贵行在数字化转型方面的主要成果和下一阶段在“数智化”方面有哪些重点布局和突破方向？</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感谢提问。2025年，我行数智化建设始终围绕全行发展战略和业务发展需要推进，由数字化战略转型委员会统筹协调，</w:t>
            </w:r>
            <w:r>
              <w:rPr>
                <w:rFonts w:hint="eastAsia" w:ascii="宋体" w:hAnsi="宋体" w:eastAsia="宋体" w:cs="宋体"/>
                <w:iCs/>
                <w:color w:val="000000"/>
                <w:sz w:val="24"/>
              </w:rPr>
              <w:t>不断完善治理机制和业技融合举措，</w:t>
            </w:r>
            <w:r>
              <w:rPr>
                <w:rFonts w:ascii="宋体" w:hAnsi="宋体" w:eastAsia="宋体" w:cs="宋体"/>
                <w:iCs/>
                <w:color w:val="000000"/>
                <w:sz w:val="24"/>
              </w:rPr>
              <w:t>重点在业务赋能和AI应用</w:t>
            </w:r>
            <w:r>
              <w:rPr>
                <w:rFonts w:hint="eastAsia" w:ascii="宋体" w:hAnsi="宋体" w:eastAsia="宋体" w:cs="宋体"/>
                <w:iCs/>
                <w:color w:val="000000"/>
                <w:sz w:val="24"/>
              </w:rPr>
              <w:t>两</w:t>
            </w:r>
            <w:r>
              <w:rPr>
                <w:rFonts w:ascii="宋体" w:hAnsi="宋体" w:eastAsia="宋体" w:cs="宋体"/>
                <w:iCs/>
                <w:color w:val="000000"/>
                <w:sz w:val="24"/>
              </w:rPr>
              <w:t>个方面</w:t>
            </w:r>
            <w:r>
              <w:rPr>
                <w:rFonts w:hint="eastAsia" w:ascii="宋体" w:hAnsi="宋体" w:eastAsia="宋体" w:cs="宋体"/>
                <w:iCs/>
                <w:color w:val="000000"/>
                <w:sz w:val="24"/>
              </w:rPr>
              <w:t>进行发力</w:t>
            </w:r>
            <w:r>
              <w:rPr>
                <w:rFonts w:ascii="宋体" w:hAnsi="宋体" w:eastAsia="宋体" w:cs="宋体"/>
                <w:iCs/>
                <w:color w:val="000000"/>
                <w:sz w:val="24"/>
              </w:rPr>
              <w:t>。</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第一，围绕业务发展做深科技赋能。全年统筹推进300余项信息化项目，其中比较有代表性的零售条线的“厦E站平台及代发薪平台”</w:t>
            </w:r>
            <w:r>
              <w:rPr>
                <w:rFonts w:hint="eastAsia" w:ascii="宋体" w:hAnsi="宋体" w:eastAsia="宋体" w:cs="宋体"/>
                <w:iCs/>
                <w:color w:val="000000"/>
                <w:sz w:val="24"/>
              </w:rPr>
              <w:t>为获客、活客提供了数字化平台工具，</w:t>
            </w:r>
            <w:r>
              <w:rPr>
                <w:rFonts w:ascii="宋体" w:hAnsi="宋体" w:eastAsia="宋体" w:cs="宋体"/>
                <w:iCs/>
                <w:color w:val="000000"/>
                <w:sz w:val="24"/>
              </w:rPr>
              <w:t>对公条线的绿色</w:t>
            </w:r>
            <w:r>
              <w:rPr>
                <w:rFonts w:hint="eastAsia" w:ascii="宋体" w:hAnsi="宋体" w:eastAsia="宋体" w:cs="宋体"/>
                <w:iCs/>
                <w:color w:val="000000"/>
                <w:sz w:val="24"/>
              </w:rPr>
              <w:t>信贷平台为绿色信贷业务的快速发展提供了有力保障，</w:t>
            </w:r>
            <w:r>
              <w:rPr>
                <w:rFonts w:ascii="宋体" w:hAnsi="宋体" w:eastAsia="宋体" w:cs="宋体"/>
                <w:iCs/>
                <w:color w:val="000000"/>
                <w:sz w:val="24"/>
              </w:rPr>
              <w:t>金融市场的</w:t>
            </w:r>
            <w:r>
              <w:rPr>
                <w:rFonts w:hint="eastAsia" w:ascii="宋体" w:hAnsi="宋体" w:eastAsia="宋体" w:cs="宋体"/>
                <w:iCs/>
                <w:color w:val="000000"/>
                <w:sz w:val="24"/>
              </w:rPr>
              <w:t>黄金程序化交易，</w:t>
            </w:r>
            <w:r>
              <w:rPr>
                <w:rFonts w:ascii="宋体" w:hAnsi="宋体" w:eastAsia="宋体" w:cs="宋体"/>
                <w:iCs/>
                <w:color w:val="000000"/>
                <w:sz w:val="24"/>
              </w:rPr>
              <w:t>运营风控</w:t>
            </w:r>
            <w:r>
              <w:rPr>
                <w:rFonts w:hint="eastAsia" w:ascii="宋体" w:hAnsi="宋体" w:eastAsia="宋体" w:cs="宋体"/>
                <w:iCs/>
                <w:color w:val="000000"/>
                <w:sz w:val="24"/>
              </w:rPr>
              <w:t>的内评系统及特色金融方面的</w:t>
            </w:r>
            <w:r>
              <w:rPr>
                <w:rFonts w:ascii="宋体" w:hAnsi="宋体" w:eastAsia="宋体" w:cs="宋体"/>
                <w:iCs/>
                <w:color w:val="000000"/>
                <w:sz w:val="24"/>
              </w:rPr>
              <w:t>台胞“双证关联</w:t>
            </w:r>
            <w:r>
              <w:rPr>
                <w:rFonts w:hint="eastAsia" w:ascii="宋体" w:hAnsi="宋体" w:eastAsia="宋体" w:cs="宋体"/>
                <w:iCs/>
                <w:color w:val="000000"/>
                <w:sz w:val="24"/>
              </w:rPr>
              <w:t>”</w:t>
            </w:r>
            <w:r>
              <w:rPr>
                <w:rFonts w:ascii="宋体" w:hAnsi="宋体" w:eastAsia="宋体" w:cs="宋体"/>
                <w:iCs/>
                <w:color w:val="000000"/>
                <w:sz w:val="24"/>
              </w:rPr>
              <w:t>、柜面运营优化等重点项目落地，有效地支持了业务条线的发展。</w:t>
            </w:r>
            <w:r>
              <w:rPr>
                <w:rFonts w:hint="eastAsia" w:ascii="宋体" w:hAnsi="宋体" w:eastAsia="宋体" w:cs="宋体"/>
                <w:iCs/>
                <w:color w:val="000000"/>
                <w:sz w:val="24"/>
              </w:rPr>
              <w:t>我们的数字化项目已经是一项常态化的工作，聚焦在产品创新、客户服务、区域特色业务发展及内部决策效率提升的落脚点上。</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第二，顺应国家持续推进“人工智能+”行动和政策导向，推动以大模型为代表的生成式AI应用，从工具试点走向能力建设。目前，我行已形成“算力、模型、知识、智能体”四位一体的AI能力底座，相关</w:t>
            </w:r>
            <w:r>
              <w:rPr>
                <w:rFonts w:hint="eastAsia" w:ascii="宋体" w:hAnsi="宋体" w:eastAsia="宋体" w:cs="宋体"/>
                <w:iCs/>
                <w:color w:val="000000"/>
                <w:sz w:val="24"/>
              </w:rPr>
              <w:t>AI技术</w:t>
            </w:r>
            <w:r>
              <w:rPr>
                <w:rFonts w:ascii="宋体" w:hAnsi="宋体" w:eastAsia="宋体" w:cs="宋体"/>
                <w:iCs/>
                <w:color w:val="000000"/>
                <w:sz w:val="24"/>
              </w:rPr>
              <w:t>平台完成本地化部署，持续推进验证试用和能力完善</w:t>
            </w:r>
            <w:r>
              <w:rPr>
                <w:rFonts w:hint="eastAsia" w:ascii="宋体" w:hAnsi="宋体" w:eastAsia="宋体" w:cs="宋体"/>
                <w:iCs/>
                <w:color w:val="000000"/>
                <w:sz w:val="24"/>
              </w:rPr>
              <w:t>。</w:t>
            </w:r>
            <w:r>
              <w:rPr>
                <w:rFonts w:ascii="宋体" w:hAnsi="宋体" w:eastAsia="宋体" w:cs="宋体"/>
                <w:iCs/>
                <w:color w:val="000000"/>
                <w:sz w:val="24"/>
              </w:rPr>
              <w:t>围绕前中后台岗位逐步推进体系化覆盖</w:t>
            </w:r>
            <w:r>
              <w:rPr>
                <w:rFonts w:hint="eastAsia" w:ascii="宋体" w:hAnsi="宋体" w:eastAsia="宋体" w:cs="宋体"/>
                <w:iCs/>
                <w:color w:val="000000"/>
                <w:sz w:val="24"/>
              </w:rPr>
              <w:t>，</w:t>
            </w:r>
            <w:r>
              <w:rPr>
                <w:rFonts w:ascii="宋体" w:hAnsi="宋体" w:eastAsia="宋体" w:cs="宋体"/>
                <w:iCs/>
                <w:color w:val="000000"/>
                <w:sz w:val="24"/>
              </w:rPr>
              <w:t>当前一批重点场景已开始见效，员工</w:t>
            </w:r>
            <w:r>
              <w:rPr>
                <w:rFonts w:hint="eastAsia" w:ascii="宋体" w:hAnsi="宋体" w:eastAsia="宋体" w:cs="宋体"/>
                <w:iCs/>
                <w:color w:val="000000"/>
                <w:sz w:val="24"/>
              </w:rPr>
              <w:t>使用AI的覆盖率达到70%</w:t>
            </w:r>
            <w:r>
              <w:rPr>
                <w:rFonts w:ascii="宋体" w:hAnsi="宋体" w:eastAsia="宋体" w:cs="宋体"/>
                <w:iCs/>
                <w:color w:val="000000"/>
                <w:sz w:val="24"/>
              </w:rPr>
              <w:t>。</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下一步，我们会重点从三个方向持续深化。一是围绕全行业务</w:t>
            </w:r>
            <w:r>
              <w:rPr>
                <w:rFonts w:hint="eastAsia" w:ascii="宋体" w:hAnsi="宋体" w:eastAsia="宋体" w:cs="宋体"/>
                <w:iCs/>
                <w:color w:val="000000"/>
                <w:sz w:val="24"/>
              </w:rPr>
              <w:t>发展需要</w:t>
            </w:r>
            <w:r>
              <w:rPr>
                <w:rFonts w:ascii="宋体" w:hAnsi="宋体" w:eastAsia="宋体" w:cs="宋体"/>
                <w:iCs/>
                <w:color w:val="000000"/>
                <w:sz w:val="24"/>
              </w:rPr>
              <w:t>，围绕重点业务领域优化科技资源配置</w:t>
            </w:r>
            <w:r>
              <w:rPr>
                <w:rFonts w:hint="eastAsia" w:ascii="宋体" w:hAnsi="宋体" w:eastAsia="宋体" w:cs="宋体"/>
                <w:iCs/>
                <w:color w:val="000000"/>
                <w:sz w:val="24"/>
              </w:rPr>
              <w:t>，</w:t>
            </w:r>
            <w:r>
              <w:rPr>
                <w:rFonts w:hint="eastAsia" w:ascii="宋体" w:hAnsi="宋体" w:eastAsia="宋体" w:cs="宋体"/>
                <w:sz w:val="24"/>
              </w:rPr>
              <w:t>从客户体验、作业效率、产品创新角度，推动一批应用系统的建设，赋能业务战略转型实现</w:t>
            </w:r>
            <w:r>
              <w:rPr>
                <w:rFonts w:hint="eastAsia" w:ascii="宋体" w:hAnsi="宋体" w:eastAsia="宋体" w:cs="宋体"/>
                <w:iCs/>
                <w:color w:val="000000"/>
                <w:sz w:val="24"/>
              </w:rPr>
              <w:t>，例如</w:t>
            </w:r>
            <w:r>
              <w:rPr>
                <w:rFonts w:ascii="宋体" w:hAnsi="宋体" w:eastAsia="宋体" w:cs="宋体"/>
                <w:iCs/>
                <w:color w:val="000000"/>
                <w:sz w:val="24"/>
              </w:rPr>
              <w:t>通过智慧物业监管平台及园区物业平台等重点项目，持续提升渠道服务能力。</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二是持续深化自主能力建设，</w:t>
            </w:r>
            <w:r>
              <w:rPr>
                <w:rFonts w:hint="eastAsia" w:ascii="宋体" w:hAnsi="宋体" w:eastAsia="宋体" w:cs="宋体"/>
                <w:iCs/>
                <w:color w:val="000000"/>
                <w:sz w:val="24"/>
              </w:rPr>
              <w:t>进一步深化业技</w:t>
            </w:r>
            <w:r>
              <w:rPr>
                <w:rFonts w:ascii="宋体" w:hAnsi="宋体" w:eastAsia="宋体" w:cs="宋体"/>
                <w:iCs/>
                <w:color w:val="000000"/>
                <w:sz w:val="24"/>
              </w:rPr>
              <w:t>融合</w:t>
            </w:r>
            <w:r>
              <w:rPr>
                <w:rFonts w:hint="eastAsia" w:ascii="宋体" w:hAnsi="宋体" w:eastAsia="宋体" w:cs="宋体"/>
                <w:iCs/>
                <w:color w:val="000000"/>
                <w:sz w:val="24"/>
              </w:rPr>
              <w:t>，</w:t>
            </w:r>
            <w:r>
              <w:rPr>
                <w:rFonts w:ascii="宋体" w:hAnsi="宋体" w:eastAsia="宋体" w:cs="宋体"/>
                <w:iCs/>
                <w:color w:val="000000"/>
                <w:sz w:val="24"/>
              </w:rPr>
              <w:t>提升关键系统和重点领域的自主掌控</w:t>
            </w:r>
            <w:r>
              <w:rPr>
                <w:rFonts w:hint="eastAsia" w:ascii="宋体" w:hAnsi="宋体" w:eastAsia="宋体" w:cs="宋体"/>
                <w:iCs/>
                <w:color w:val="000000"/>
                <w:sz w:val="24"/>
              </w:rPr>
              <w:t>、</w:t>
            </w:r>
            <w:r>
              <w:rPr>
                <w:rFonts w:ascii="宋体" w:hAnsi="宋体" w:eastAsia="宋体" w:cs="宋体"/>
                <w:iCs/>
                <w:color w:val="000000"/>
                <w:sz w:val="24"/>
              </w:rPr>
              <w:t>自主研发</w:t>
            </w:r>
            <w:r>
              <w:rPr>
                <w:rFonts w:hint="eastAsia" w:ascii="宋体" w:hAnsi="宋体" w:eastAsia="宋体" w:cs="宋体"/>
                <w:iCs/>
                <w:color w:val="000000"/>
                <w:sz w:val="24"/>
              </w:rPr>
              <w:t>及</w:t>
            </w:r>
            <w:r>
              <w:rPr>
                <w:rFonts w:ascii="宋体" w:hAnsi="宋体" w:eastAsia="宋体" w:cs="宋体"/>
                <w:iCs/>
                <w:color w:val="000000"/>
                <w:sz w:val="24"/>
              </w:rPr>
              <w:t>交付能力。我们将行内的重要</w:t>
            </w:r>
            <w:r>
              <w:rPr>
                <w:rFonts w:hint="eastAsia" w:ascii="宋体" w:hAnsi="宋体" w:eastAsia="宋体" w:cs="宋体"/>
                <w:iCs/>
                <w:color w:val="000000"/>
                <w:sz w:val="24"/>
              </w:rPr>
              <w:t>业务领域</w:t>
            </w:r>
            <w:r>
              <w:rPr>
                <w:rFonts w:ascii="宋体" w:hAnsi="宋体" w:eastAsia="宋体" w:cs="宋体"/>
                <w:iCs/>
                <w:color w:val="000000"/>
                <w:sz w:val="24"/>
              </w:rPr>
              <w:t>按项目群方式进行组织，进行统一规范与敏捷交付，为业务战略提供更</w:t>
            </w:r>
            <w:r>
              <w:rPr>
                <w:rFonts w:hint="eastAsia" w:ascii="宋体" w:hAnsi="宋体" w:eastAsia="宋体" w:cs="宋体"/>
                <w:iCs/>
                <w:color w:val="000000"/>
                <w:sz w:val="24"/>
              </w:rPr>
              <w:t>快更好</w:t>
            </w:r>
            <w:r>
              <w:rPr>
                <w:rFonts w:ascii="宋体" w:hAnsi="宋体" w:eastAsia="宋体" w:cs="宋体"/>
                <w:iCs/>
                <w:color w:val="000000"/>
                <w:sz w:val="24"/>
              </w:rPr>
              <w:t>的科技赋能。</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三是积极拥抱AI</w:t>
            </w:r>
            <w:r>
              <w:rPr>
                <w:rFonts w:hint="eastAsia" w:ascii="宋体" w:hAnsi="宋体" w:eastAsia="宋体" w:cs="宋体"/>
                <w:iCs/>
                <w:color w:val="000000"/>
                <w:sz w:val="24"/>
              </w:rPr>
              <w:t>。</w:t>
            </w:r>
            <w:r>
              <w:rPr>
                <w:rFonts w:ascii="宋体" w:hAnsi="宋体" w:eastAsia="宋体" w:cs="宋体"/>
                <w:iCs/>
                <w:color w:val="000000"/>
                <w:sz w:val="24"/>
              </w:rPr>
              <w:t>AI正深度影响金融业，我们将推动生成式AI应用加快走深走实。</w:t>
            </w:r>
            <w:r>
              <w:rPr>
                <w:rFonts w:hint="eastAsia" w:ascii="宋体" w:hAnsi="宋体" w:eastAsia="宋体" w:cs="宋体"/>
                <w:sz w:val="24"/>
              </w:rPr>
              <w:t>从岗位场景入手，推动人工智能应用落地，聚焦“一岗一助手”，实现降本增效，以及“一人一分身”，实现价值创造</w:t>
            </w:r>
            <w:r>
              <w:rPr>
                <w:rFonts w:ascii="宋体" w:hAnsi="宋体" w:eastAsia="宋体" w:cs="宋体"/>
                <w:iCs/>
                <w:color w:val="000000"/>
                <w:sz w:val="24"/>
              </w:rPr>
              <w:t>，推出一系列智能体。目前我们在研发体</w:t>
            </w:r>
            <w:r>
              <w:rPr>
                <w:rFonts w:hint="eastAsia" w:ascii="宋体" w:hAnsi="宋体" w:eastAsia="宋体" w:cs="宋体"/>
                <w:iCs/>
                <w:color w:val="000000"/>
                <w:sz w:val="24"/>
              </w:rPr>
              <w:t>系工程化</w:t>
            </w:r>
            <w:r>
              <w:rPr>
                <w:rFonts w:ascii="宋体" w:hAnsi="宋体" w:eastAsia="宋体" w:cs="宋体"/>
                <w:iCs/>
                <w:color w:val="000000"/>
                <w:sz w:val="24"/>
              </w:rPr>
              <w:t>方面已经大量应用AI技术，在面向客户服务岗位也正在建设一批智能体；在</w:t>
            </w:r>
            <w:r>
              <w:rPr>
                <w:rFonts w:hint="eastAsia" w:ascii="宋体" w:hAnsi="宋体" w:eastAsia="宋体" w:cs="宋体"/>
                <w:iCs/>
                <w:color w:val="000000"/>
                <w:sz w:val="24"/>
              </w:rPr>
              <w:t>产品</w:t>
            </w:r>
            <w:r>
              <w:rPr>
                <w:rFonts w:ascii="宋体" w:hAnsi="宋体" w:eastAsia="宋体" w:cs="宋体"/>
                <w:iCs/>
                <w:color w:val="000000"/>
                <w:sz w:val="24"/>
              </w:rPr>
              <w:t>运营侧，重点推进财富管理智能运营、单据智能审核、智能尽调等应用。同时持续加强数据治理、知识治理和模型能力建设，推动AI逐步走向更深层次的流程融合和组织能力建设。</w:t>
            </w:r>
          </w:p>
          <w:p>
            <w:pPr>
              <w:spacing w:line="360" w:lineRule="auto"/>
              <w:rPr>
                <w:rFonts w:ascii="宋体" w:hAnsi="宋体" w:eastAsia="宋体" w:cs="宋体"/>
                <w:iCs/>
                <w:color w:val="000000"/>
                <w:sz w:val="24"/>
              </w:rPr>
            </w:pPr>
          </w:p>
          <w:p>
            <w:pPr>
              <w:spacing w:line="360" w:lineRule="auto"/>
              <w:ind w:firstLine="482" w:firstLineChars="200"/>
              <w:rPr>
                <w:rFonts w:ascii="宋体" w:hAnsi="宋体" w:eastAsia="宋体" w:cs="宋体"/>
                <w:b/>
                <w:bCs/>
                <w:iCs/>
                <w:color w:val="000000"/>
                <w:sz w:val="24"/>
              </w:rPr>
            </w:pPr>
            <w:r>
              <w:rPr>
                <w:rFonts w:ascii="宋体" w:hAnsi="宋体" w:eastAsia="宋体" w:cs="宋体"/>
                <w:b/>
                <w:bCs/>
                <w:iCs/>
                <w:color w:val="000000"/>
                <w:sz w:val="24"/>
              </w:rPr>
              <w:t>8.2025年厦门银行信贷投放明显发力，风险加权资产增速上升较快，如何平衡规模增长与资本约束？未来的资本补充规划以及合意的分红率如何展望？</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感谢提问。2025年</w:t>
            </w:r>
            <w:r>
              <w:rPr>
                <w:rFonts w:hint="eastAsia" w:ascii="宋体" w:hAnsi="宋体" w:eastAsia="宋体" w:cs="宋体"/>
                <w:iCs/>
                <w:color w:val="000000"/>
                <w:sz w:val="24"/>
              </w:rPr>
              <w:t>我行业务加快增长的同时，始终遵循资本充足和风险可控这一基本前提，包括资本充足率在内的各项监管指标均在安全边界内，满足稳健发展的要求。</w:t>
            </w:r>
            <w:r>
              <w:rPr>
                <w:rFonts w:ascii="宋体" w:hAnsi="宋体" w:eastAsia="宋体" w:cs="宋体"/>
                <w:iCs/>
                <w:color w:val="000000"/>
                <w:sz w:val="24"/>
              </w:rPr>
              <w:t>随着业务的发展我行风险加权资产（RWA）增速较快、资本充足水平相应有所承压，我们从加强资本管理和推进资本补充两个方面来做好规模、业务发展和资本的平衡。</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一是加强资本管理，优化资产结构，提升资本配置效率。我行持续完善加权风险资产计量与分析体系，健全资本配额管理机制，引导资源向资本占用少、收益高的业务领域倾斜，重点发展财富管理、投资银行等轻资本中间业务。在业务发展过程中，全行不断强化资本节约与资本回报理念。</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二是推进资本补充，涵盖内源性资本积累与外源性资本补充两个层面。内源性资本积累方面，我行营收与利润自2025年起重回双增轨道，2026年一季度继续延续这一趋势。我行从优化净息差、发展中收、加强成本管控等多个维度强化盈利管理，持续提升内源性资本积累能力。外源性资本补充方面，我行正在申请50亿元可转债。当前外源性资本补充仍面临一定制约，但我行将密切跟踪银行再融资政策动态，积极做好资本补充各项工作的推进。</w:t>
            </w:r>
          </w:p>
          <w:p>
            <w:pPr>
              <w:spacing w:line="360" w:lineRule="auto"/>
              <w:ind w:firstLine="480" w:firstLineChars="200"/>
              <w:rPr>
                <w:rFonts w:ascii="宋体" w:hAnsi="宋体" w:eastAsia="宋体" w:cs="宋体"/>
                <w:iCs/>
                <w:color w:val="000000"/>
                <w:sz w:val="24"/>
              </w:rPr>
            </w:pPr>
            <w:r>
              <w:rPr>
                <w:rFonts w:ascii="宋体" w:hAnsi="宋体" w:eastAsia="宋体" w:cs="宋体"/>
                <w:iCs/>
                <w:color w:val="000000"/>
                <w:sz w:val="24"/>
              </w:rPr>
              <w:t>在分红方面，厦门银行高度重视股东回报，积极响应监管“提质增效重回报”“提高股息率、推动一年多次分红”的政策导向，坚持稳定、持续的分红政策，</w:t>
            </w:r>
            <w:bookmarkStart w:id="4" w:name="OLE_LINK6"/>
            <w:bookmarkStart w:id="5" w:name="OLE_LINK5"/>
            <w:r>
              <w:rPr>
                <w:rFonts w:ascii="宋体" w:hAnsi="宋体" w:eastAsia="宋体" w:cs="宋体"/>
                <w:iCs/>
                <w:color w:val="000000"/>
                <w:sz w:val="24"/>
              </w:rPr>
              <w:t>2020年上市以来分红比例连续四年超过30%，切实将发展成果与股东共享。2024年和2025年我行均实施中期分红政策，旨在让投资者更早分享公司成长红利，进一步提升投资获得感。2025年是我行近年来首次分红比例低于30</w:t>
            </w:r>
            <w:bookmarkEnd w:id="4"/>
            <w:bookmarkEnd w:id="5"/>
            <w:r>
              <w:rPr>
                <w:rFonts w:ascii="宋体" w:hAnsi="宋体" w:eastAsia="宋体" w:cs="宋体"/>
                <w:iCs/>
                <w:color w:val="000000"/>
                <w:sz w:val="24"/>
              </w:rPr>
              <w:t>%，主要考虑是我行当前正处于发展转型的关键时期。在这一阶段，</w:t>
            </w:r>
            <w:r>
              <w:rPr>
                <w:rFonts w:hint="eastAsia" w:ascii="宋体" w:hAnsi="宋体" w:eastAsia="宋体" w:cs="宋体"/>
                <w:iCs/>
                <w:color w:val="000000"/>
                <w:sz w:val="24"/>
              </w:rPr>
              <w:t>阶段性</w:t>
            </w:r>
            <w:r>
              <w:rPr>
                <w:rFonts w:ascii="宋体" w:hAnsi="宋体" w:eastAsia="宋体" w:cs="宋体"/>
                <w:iCs/>
                <w:color w:val="000000"/>
                <w:sz w:val="24"/>
              </w:rPr>
              <w:t>适度留存利润以充实核心一级资本，有利于我行更好地把握市场发展机遇、应对各类挑战，争取更大的发展空间。从长远看，这也将有利于投资者的长期回报。我行对高质量发展前景和长期投资价值的提升充满信心，并将继续秉持与投资者共享发展红利的理念，持续优化股东回报机制。</w:t>
            </w:r>
          </w:p>
          <w:p>
            <w:pPr>
              <w:spacing w:line="360" w:lineRule="auto"/>
              <w:ind w:firstLine="482" w:firstLineChars="200"/>
              <w:rPr>
                <w:rFonts w:ascii="宋体" w:hAnsi="宋体" w:eastAsia="宋体" w:cs="宋体"/>
                <w:b/>
                <w:bCs/>
                <w:iCs/>
                <w:color w:val="000000"/>
                <w:sz w:val="24"/>
              </w:rPr>
            </w:pPr>
          </w:p>
          <w:p>
            <w:pPr>
              <w:spacing w:line="360" w:lineRule="auto"/>
              <w:ind w:firstLine="482" w:firstLineChars="200"/>
              <w:rPr>
                <w:rFonts w:ascii="宋体" w:hAnsi="宋体" w:eastAsia="宋体" w:cs="宋体"/>
                <w:b/>
                <w:bCs/>
                <w:iCs/>
                <w:color w:val="000000"/>
                <w:sz w:val="24"/>
              </w:rPr>
            </w:pPr>
            <w:r>
              <w:rPr>
                <w:rFonts w:hint="eastAsia" w:ascii="宋体" w:hAnsi="宋体" w:eastAsia="宋体" w:cs="宋体"/>
                <w:b/>
                <w:bCs/>
                <w:iCs/>
                <w:color w:val="000000"/>
                <w:sz w:val="24"/>
              </w:rPr>
              <w:t>二、网络互动问答</w:t>
            </w:r>
          </w:p>
          <w:p>
            <w:pPr>
              <w:spacing w:line="360" w:lineRule="auto"/>
              <w:ind w:firstLine="482" w:firstLineChars="200"/>
              <w:rPr>
                <w:rFonts w:ascii="宋体" w:hAnsi="宋体" w:eastAsia="宋体" w:cs="宋体"/>
                <w:b/>
                <w:bCs/>
                <w:iCs/>
                <w:color w:val="000000"/>
                <w:sz w:val="24"/>
              </w:rPr>
            </w:pPr>
            <w:r>
              <w:rPr>
                <w:rFonts w:hint="eastAsia" w:ascii="宋体" w:hAnsi="宋体" w:eastAsia="宋体" w:cs="宋体"/>
                <w:b/>
                <w:bCs/>
                <w:iCs/>
                <w:color w:val="000000"/>
                <w:sz w:val="24"/>
              </w:rPr>
              <w:t>1.请问2025年贵行资产质量表现如何？</w:t>
            </w:r>
          </w:p>
          <w:p>
            <w:pPr>
              <w:spacing w:line="360" w:lineRule="auto"/>
              <w:ind w:firstLine="480" w:firstLineChars="200"/>
              <w:rPr>
                <w:rFonts w:ascii="宋体" w:hAnsi="宋体" w:eastAsia="宋体" w:cs="宋体"/>
                <w:iCs/>
                <w:color w:val="000000"/>
                <w:sz w:val="24"/>
              </w:rPr>
            </w:pPr>
            <w:r>
              <w:rPr>
                <w:rFonts w:hint="eastAsia" w:ascii="宋体" w:hAnsi="宋体" w:eastAsia="宋体" w:cs="宋体"/>
                <w:iCs/>
                <w:color w:val="000000"/>
                <w:sz w:val="24"/>
              </w:rPr>
              <w:t>您好，感谢您的关注。公司资产质量保持稳定。截至2025年末，不良贷款率0.77%，维持良好水平；拨备覆盖率312.71%，风险抵补能力充足。</w:t>
            </w:r>
          </w:p>
          <w:p>
            <w:pPr>
              <w:spacing w:line="360" w:lineRule="auto"/>
              <w:ind w:firstLine="482" w:firstLineChars="200"/>
              <w:rPr>
                <w:rFonts w:hint="eastAsia" w:ascii="宋体" w:hAnsi="宋体" w:eastAsia="宋体" w:cs="宋体"/>
                <w:b/>
                <w:bCs/>
                <w:iCs/>
                <w:color w:val="000000"/>
                <w:sz w:val="24"/>
              </w:rPr>
            </w:pPr>
            <w:r>
              <w:rPr>
                <w:rFonts w:hint="eastAsia" w:ascii="宋体" w:hAnsi="宋体" w:eastAsia="宋体" w:cs="宋体"/>
                <w:b/>
                <w:bCs/>
                <w:iCs/>
                <w:color w:val="000000"/>
                <w:sz w:val="24"/>
                <w:lang w:val="en-US" w:eastAsia="zh-CN"/>
              </w:rPr>
              <w:t>2</w:t>
            </w:r>
            <w:r>
              <w:rPr>
                <w:rFonts w:hint="eastAsia" w:ascii="宋体" w:hAnsi="宋体" w:eastAsia="宋体" w:cs="宋体"/>
                <w:b/>
                <w:bCs/>
                <w:iCs/>
                <w:color w:val="000000"/>
                <w:sz w:val="24"/>
              </w:rPr>
              <w:t>.请问贵公司本期财务报告中，盈利表现如何？</w:t>
            </w:r>
          </w:p>
          <w:p>
            <w:pPr>
              <w:spacing w:line="360" w:lineRule="auto"/>
              <w:ind w:firstLine="480" w:firstLineChars="200"/>
              <w:rPr>
                <w:rFonts w:ascii="宋体" w:hAnsi="宋体" w:eastAsia="宋体" w:cs="宋体"/>
                <w:iCs/>
                <w:color w:val="000000"/>
                <w:sz w:val="24"/>
              </w:rPr>
            </w:pPr>
            <w:r>
              <w:rPr>
                <w:rFonts w:hint="eastAsia" w:ascii="宋体" w:hAnsi="宋体" w:eastAsia="宋体" w:cs="宋体"/>
                <w:iCs/>
                <w:color w:val="000000"/>
                <w:sz w:val="24"/>
              </w:rPr>
              <w:t>您好，感谢您的关注。2025年，公司经营效益稳步提升，实现营业收入58.60亿元，同比增长1.75%，其中，实现利息净收入41.95亿元，同比增长4.74%，净息差收窄幅度较去年同期改善11bp；实现利润总额27.70亿元，同比增长1.25%；实现净利润27.52亿元，同比增长1.69%。</w:t>
            </w:r>
          </w:p>
          <w:p>
            <w:pPr>
              <w:spacing w:line="360" w:lineRule="auto"/>
              <w:ind w:firstLine="482" w:firstLineChars="200"/>
              <w:rPr>
                <w:rFonts w:hint="eastAsia" w:ascii="宋体" w:hAnsi="宋体" w:eastAsia="宋体" w:cs="宋体"/>
                <w:b/>
                <w:bCs/>
                <w:iCs/>
                <w:color w:val="000000"/>
                <w:sz w:val="24"/>
                <w:lang w:val="en-US" w:eastAsia="zh-CN"/>
              </w:rPr>
            </w:pPr>
            <w:r>
              <w:rPr>
                <w:rFonts w:hint="eastAsia" w:ascii="宋体" w:hAnsi="宋体" w:eastAsia="宋体" w:cs="宋体"/>
                <w:b/>
                <w:bCs/>
                <w:iCs/>
                <w:color w:val="000000"/>
                <w:sz w:val="24"/>
                <w:lang w:val="en-US" w:eastAsia="zh-CN"/>
              </w:rPr>
              <w:t>3.2025年对公业务作为“压舱石”，请问贵行在这方面表现如何？</w:t>
            </w:r>
          </w:p>
          <w:p>
            <w:pPr>
              <w:spacing w:line="360" w:lineRule="auto"/>
              <w:ind w:firstLine="480" w:firstLineChars="200"/>
              <w:rPr>
                <w:rFonts w:ascii="宋体" w:hAnsi="宋体" w:eastAsia="宋体" w:cs="宋体"/>
                <w:iCs/>
                <w:color w:val="000000"/>
                <w:sz w:val="24"/>
              </w:rPr>
            </w:pPr>
            <w:r>
              <w:rPr>
                <w:rFonts w:hint="eastAsia" w:ascii="宋体" w:hAnsi="宋体" w:eastAsia="宋体" w:cs="宋体"/>
                <w:iCs/>
                <w:color w:val="000000"/>
                <w:sz w:val="24"/>
              </w:rPr>
              <w:t>您好，感谢您的关注。2025年对公业务量质双升。企业贷款及垫款余额1</w:t>
            </w:r>
            <w:r>
              <w:rPr>
                <w:rFonts w:ascii="宋体" w:hAnsi="宋体" w:eastAsia="宋体" w:cs="宋体"/>
                <w:iCs/>
                <w:color w:val="000000"/>
                <w:sz w:val="24"/>
              </w:rPr>
              <w:t>,</w:t>
            </w:r>
            <w:r>
              <w:rPr>
                <w:rFonts w:hint="eastAsia" w:ascii="宋体" w:hAnsi="宋体" w:eastAsia="宋体" w:cs="宋体"/>
                <w:iCs/>
                <w:color w:val="000000"/>
                <w:sz w:val="24"/>
              </w:rPr>
              <w:t>658.59亿元，同比增长35.85%，重点投向实体经济、绿色、科技等领域，以实际行动落实金融“五篇大文章”的部署要求。公司业务存款余额（不含保证金存款）1</w:t>
            </w:r>
            <w:r>
              <w:rPr>
                <w:rFonts w:ascii="宋体" w:hAnsi="宋体" w:eastAsia="宋体" w:cs="宋体"/>
                <w:iCs/>
                <w:color w:val="000000"/>
                <w:sz w:val="24"/>
              </w:rPr>
              <w:t>,</w:t>
            </w:r>
            <w:r>
              <w:rPr>
                <w:rFonts w:hint="eastAsia" w:ascii="宋体" w:hAnsi="宋体" w:eastAsia="宋体" w:cs="宋体"/>
                <w:iCs/>
                <w:color w:val="000000"/>
                <w:sz w:val="24"/>
              </w:rPr>
              <w:t>326.71亿元，活期存款增长13.33%，负债成本下降。客户经营取得阶段性进展，对公客户数增长5.74%；授信客群结构持续优化，绿色、科技、普惠客群快速增长。对公电子渠道有效客户数及现金管理产品签约客户数较上年末增幅分别为18.29%、30.71%。</w:t>
            </w:r>
          </w:p>
          <w:p>
            <w:pPr>
              <w:spacing w:line="360" w:lineRule="auto"/>
              <w:ind w:firstLine="482" w:firstLineChars="200"/>
              <w:rPr>
                <w:rFonts w:hint="eastAsia" w:ascii="宋体" w:hAnsi="宋体" w:eastAsia="宋体" w:cs="宋体"/>
                <w:b/>
                <w:bCs/>
                <w:iCs/>
                <w:color w:val="000000"/>
                <w:sz w:val="24"/>
                <w:lang w:val="en-US" w:eastAsia="zh-CN"/>
              </w:rPr>
            </w:pPr>
            <w:r>
              <w:rPr>
                <w:rFonts w:hint="eastAsia" w:ascii="宋体" w:hAnsi="宋体" w:eastAsia="宋体" w:cs="宋体"/>
                <w:b/>
                <w:bCs/>
                <w:iCs/>
                <w:color w:val="000000"/>
                <w:sz w:val="24"/>
                <w:lang w:val="en-US" w:eastAsia="zh-CN"/>
              </w:rPr>
              <w:t>4.请问贵行2025年零售金融业务表现如何？业务有哪些进展？</w:t>
            </w:r>
          </w:p>
          <w:p>
            <w:pPr>
              <w:spacing w:line="360" w:lineRule="auto"/>
              <w:ind w:firstLine="480" w:firstLineChars="200"/>
              <w:rPr>
                <w:rFonts w:ascii="宋体" w:hAnsi="宋体" w:eastAsia="宋体" w:cs="宋体"/>
                <w:iCs/>
                <w:color w:val="000000"/>
                <w:sz w:val="24"/>
              </w:rPr>
            </w:pPr>
            <w:r>
              <w:rPr>
                <w:rFonts w:hint="eastAsia" w:ascii="宋体" w:hAnsi="宋体" w:eastAsia="宋体" w:cs="宋体"/>
                <w:iCs/>
                <w:color w:val="000000"/>
                <w:sz w:val="24"/>
              </w:rPr>
              <w:t>您好，感谢您的关注。零售业务聚焦高质量发展，客户与规模实现较快增长。具体聚焦三项重点工作：一是做大做实客群，提升结算性存款获取能力，通过代发、收单、“钩子产品”和“厦金同城卡”、“闽台安居贷”等台胞特色产品，零售客户数当年增量同比多增50%；二是做深做精大财富，提升客户深度经营能力，通过场景获客和分层分类经营，AUM超1</w:t>
            </w:r>
            <w:r>
              <w:rPr>
                <w:rFonts w:ascii="宋体" w:hAnsi="宋体" w:eastAsia="宋体" w:cs="宋体"/>
                <w:iCs/>
                <w:color w:val="000000"/>
                <w:sz w:val="24"/>
              </w:rPr>
              <w:t>,</w:t>
            </w:r>
            <w:r>
              <w:rPr>
                <w:rFonts w:hint="eastAsia" w:ascii="宋体" w:hAnsi="宋体" w:eastAsia="宋体" w:cs="宋体"/>
                <w:iCs/>
                <w:color w:val="000000"/>
                <w:sz w:val="24"/>
              </w:rPr>
              <w:t>200亿元，增长15%；三是做精做实效能，提升数字化经营管理能力，“厦e站”上线半年访问超36万户。</w:t>
            </w:r>
          </w:p>
          <w:p>
            <w:pPr>
              <w:spacing w:line="360" w:lineRule="auto"/>
              <w:ind w:firstLine="482" w:firstLineChars="200"/>
              <w:rPr>
                <w:rFonts w:hint="eastAsia" w:ascii="宋体" w:hAnsi="宋体" w:eastAsia="宋体" w:cs="宋体"/>
                <w:b/>
                <w:bCs/>
                <w:iCs/>
                <w:color w:val="000000"/>
                <w:sz w:val="24"/>
                <w:lang w:val="en-US" w:eastAsia="zh-CN"/>
              </w:rPr>
            </w:pPr>
            <w:r>
              <w:rPr>
                <w:rFonts w:hint="eastAsia" w:ascii="宋体" w:hAnsi="宋体" w:eastAsia="宋体" w:cs="宋体"/>
                <w:b/>
                <w:bCs/>
                <w:iCs/>
                <w:color w:val="000000"/>
                <w:sz w:val="24"/>
                <w:lang w:val="en-US" w:eastAsia="zh-CN"/>
              </w:rPr>
              <w:t>5.请问公司未来的分红计划和派息政策？</w:t>
            </w:r>
          </w:p>
          <w:p>
            <w:pPr>
              <w:spacing w:line="360" w:lineRule="auto"/>
              <w:ind w:firstLine="480" w:firstLineChars="200"/>
              <w:rPr>
                <w:rFonts w:ascii="宋体" w:hAnsi="宋体" w:eastAsia="宋体" w:cs="宋体"/>
                <w:iCs/>
                <w:color w:val="000000"/>
                <w:sz w:val="24"/>
              </w:rPr>
            </w:pPr>
            <w:r>
              <w:rPr>
                <w:rFonts w:hint="eastAsia" w:ascii="宋体" w:hAnsi="宋体" w:eastAsia="宋体" w:cs="宋体"/>
                <w:iCs/>
                <w:color w:val="000000"/>
                <w:sz w:val="24"/>
              </w:rPr>
              <w:t>您好，感谢您的关注。本行拟以实施权益分派股权登记日的普通股总股本为基数，按每10股派发现金股利1.10元（含税）。截至2025年12月31日，公司总股本2,639,127,888股，以此计算合计拟派发现金股利共计2.90亿元（含税）。公司已于2025年12月完成2025年中期利润分配派发，合计派发现金股利3.69亿元（含税）。2025年全年公司拟分配的现金分红总额（包括中期已分配的现金红利）共计为6.60亿元（含税），现金分红比例为25.04%。未来，公司坚持以价值创造为核心，持续提升经营质效，在满足资本监管要求和保障可持续发展的前提下，保持分红政策的连续性和稳定性，使股东能够持续分享公司经营发展成果。</w:t>
            </w:r>
          </w:p>
          <w:p>
            <w:pPr>
              <w:spacing w:line="360" w:lineRule="auto"/>
              <w:ind w:firstLine="482" w:firstLineChars="200"/>
              <w:rPr>
                <w:rFonts w:hint="eastAsia" w:ascii="宋体" w:hAnsi="宋体" w:eastAsia="宋体" w:cs="宋体"/>
                <w:b/>
                <w:bCs/>
                <w:iCs/>
                <w:color w:val="000000"/>
                <w:sz w:val="24"/>
                <w:lang w:val="en-US" w:eastAsia="zh-CN"/>
              </w:rPr>
            </w:pPr>
            <w:r>
              <w:rPr>
                <w:rFonts w:hint="eastAsia" w:ascii="宋体" w:hAnsi="宋体" w:eastAsia="宋体" w:cs="宋体"/>
                <w:b/>
                <w:bCs/>
                <w:iCs/>
                <w:color w:val="000000"/>
                <w:sz w:val="24"/>
                <w:lang w:val="en-US" w:eastAsia="zh-CN"/>
              </w:rPr>
              <w:t>6.两岸金融是贵行的核心特色，请问2025年有哪些进展？2026年有何规划？</w:t>
            </w:r>
          </w:p>
          <w:p>
            <w:pPr>
              <w:spacing w:line="360" w:lineRule="auto"/>
              <w:ind w:firstLine="480" w:firstLineChars="200"/>
              <w:rPr>
                <w:rFonts w:ascii="宋体" w:hAnsi="宋体" w:eastAsia="宋体" w:cs="宋体"/>
                <w:iCs/>
                <w:color w:val="000000"/>
                <w:sz w:val="24"/>
              </w:rPr>
            </w:pPr>
            <w:r>
              <w:rPr>
                <w:rFonts w:hint="eastAsia" w:ascii="宋体" w:hAnsi="宋体" w:eastAsia="宋体" w:cs="宋体"/>
                <w:iCs/>
                <w:color w:val="000000"/>
                <w:sz w:val="24"/>
              </w:rPr>
              <w:t>您好，感谢您的关注。本行依托区位与股东优势，持续打造两岸金融标杆银行，2025年，本行台胞客户数、台企客户数分别增长23%与19%，台企授信户数、台胞信用卡发放数持续保持全省第一。创新推出全国首个台胞“双证关联”金融线上应用场景、台胞购房专属产品“闽台安居贷”以及厦金同城卡，发布大陆银行业首个对台金融服务团体标准，持续开展产品创新、引领行业构建专业服务体系。2026年，本行将深度融入两岸融合发展大局，持续拓展市场空间与客户覆盖，优化专属金融产品体系，致力于为台胞台企提供更便捷、更高效的综合金融服务。</w:t>
            </w:r>
          </w:p>
          <w:p>
            <w:pPr>
              <w:spacing w:line="360" w:lineRule="auto"/>
              <w:ind w:firstLine="482" w:firstLineChars="200"/>
              <w:rPr>
                <w:rFonts w:hint="eastAsia" w:ascii="宋体" w:hAnsi="宋体" w:eastAsia="宋体" w:cs="宋体"/>
                <w:b/>
                <w:bCs/>
                <w:iCs/>
                <w:color w:val="000000"/>
                <w:sz w:val="24"/>
                <w:lang w:val="en-US" w:eastAsia="zh-CN"/>
              </w:rPr>
            </w:pPr>
            <w:r>
              <w:rPr>
                <w:rFonts w:hint="eastAsia" w:ascii="宋体" w:hAnsi="宋体" w:eastAsia="宋体" w:cs="宋体"/>
                <w:b/>
                <w:bCs/>
                <w:iCs/>
                <w:color w:val="000000"/>
                <w:sz w:val="24"/>
                <w:lang w:val="en-US" w:eastAsia="zh-CN"/>
              </w:rPr>
              <w:t>7.请问2025年贵行数字化转型取得哪些成果？</w:t>
            </w:r>
          </w:p>
          <w:p>
            <w:pPr>
              <w:spacing w:line="360" w:lineRule="auto"/>
              <w:ind w:firstLine="480" w:firstLineChars="200"/>
              <w:rPr>
                <w:rFonts w:ascii="宋体" w:hAnsi="宋体" w:eastAsia="宋体" w:cs="宋体"/>
                <w:iCs/>
                <w:color w:val="000000"/>
                <w:sz w:val="24"/>
              </w:rPr>
            </w:pPr>
            <w:r>
              <w:rPr>
                <w:rFonts w:hint="eastAsia" w:ascii="宋体" w:hAnsi="宋体" w:eastAsia="宋体" w:cs="宋体"/>
                <w:iCs/>
                <w:color w:val="000000"/>
                <w:sz w:val="24"/>
              </w:rPr>
              <w:t>您好，感谢您的关注。2025年本行数字化转型加速推进，科技赋能成效显著。搭建全行AI能力平台，落地ChatOA制度助手、对公智能助手等多个场景，通过“报表自动化”等提升效能，覆盖超七成员工；零售端升级“厦e站”轻量化平台，实现精准营销、场景获客，信贷工厂3.0结合无纸化改造，实现零售贷款全流程线上办理；对公端上线电子信用证、绿色金融管理系统、智能拓客平台，提升业务效率；风控端优化大数据风控模型，实现风险精准识别与预警；两岸金融创新台胞“双证关联”认证，打通线上服务壁垒等。全年统筹推进300余项数字化转型相关建设提案，覆盖零售、对公、金融市场、风险管理、运营合规及两岸金融等多个领域；持续推进企业级数据标准建设与落地，累计推动数据标准制定超3,500项，强化关键系统数据标准应用。</w:t>
            </w:r>
          </w:p>
        </w:tc>
      </w:tr>
    </w:tbl>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15"/>
    <w:rsid w:val="00010AF9"/>
    <w:rsid w:val="00012AB6"/>
    <w:rsid w:val="00017E52"/>
    <w:rsid w:val="000374E5"/>
    <w:rsid w:val="00056E17"/>
    <w:rsid w:val="0007077E"/>
    <w:rsid w:val="000865C3"/>
    <w:rsid w:val="000915CF"/>
    <w:rsid w:val="00094D1A"/>
    <w:rsid w:val="000960B9"/>
    <w:rsid w:val="000A2087"/>
    <w:rsid w:val="000D5CBE"/>
    <w:rsid w:val="000D76B7"/>
    <w:rsid w:val="00120083"/>
    <w:rsid w:val="00120AE8"/>
    <w:rsid w:val="0012483B"/>
    <w:rsid w:val="00135452"/>
    <w:rsid w:val="001606FC"/>
    <w:rsid w:val="001670CA"/>
    <w:rsid w:val="001747CA"/>
    <w:rsid w:val="00175514"/>
    <w:rsid w:val="0017609F"/>
    <w:rsid w:val="001B212A"/>
    <w:rsid w:val="001B2ABC"/>
    <w:rsid w:val="001B7179"/>
    <w:rsid w:val="001C6A12"/>
    <w:rsid w:val="001D437F"/>
    <w:rsid w:val="001D66F6"/>
    <w:rsid w:val="001E3243"/>
    <w:rsid w:val="00211682"/>
    <w:rsid w:val="00220E2F"/>
    <w:rsid w:val="00232311"/>
    <w:rsid w:val="00234EFD"/>
    <w:rsid w:val="002635DC"/>
    <w:rsid w:val="00267B38"/>
    <w:rsid w:val="00270456"/>
    <w:rsid w:val="0028137A"/>
    <w:rsid w:val="00290665"/>
    <w:rsid w:val="0029668A"/>
    <w:rsid w:val="002A5E7C"/>
    <w:rsid w:val="002B4940"/>
    <w:rsid w:val="002D2F6F"/>
    <w:rsid w:val="002E664F"/>
    <w:rsid w:val="002F3829"/>
    <w:rsid w:val="003001CA"/>
    <w:rsid w:val="00320B81"/>
    <w:rsid w:val="00320CDD"/>
    <w:rsid w:val="00321BD4"/>
    <w:rsid w:val="00326BE1"/>
    <w:rsid w:val="0036439D"/>
    <w:rsid w:val="003713F1"/>
    <w:rsid w:val="00373703"/>
    <w:rsid w:val="00382744"/>
    <w:rsid w:val="003837F6"/>
    <w:rsid w:val="003C07DD"/>
    <w:rsid w:val="003C3502"/>
    <w:rsid w:val="003C68AD"/>
    <w:rsid w:val="003D0F38"/>
    <w:rsid w:val="003E0254"/>
    <w:rsid w:val="003E10F6"/>
    <w:rsid w:val="00403237"/>
    <w:rsid w:val="004077D5"/>
    <w:rsid w:val="00426705"/>
    <w:rsid w:val="00445BB0"/>
    <w:rsid w:val="00461E9B"/>
    <w:rsid w:val="004A7354"/>
    <w:rsid w:val="004A7CA0"/>
    <w:rsid w:val="004B363C"/>
    <w:rsid w:val="004C3B70"/>
    <w:rsid w:val="004E4DA1"/>
    <w:rsid w:val="005063C5"/>
    <w:rsid w:val="005275C2"/>
    <w:rsid w:val="00527972"/>
    <w:rsid w:val="00535FC0"/>
    <w:rsid w:val="005368E3"/>
    <w:rsid w:val="005448C7"/>
    <w:rsid w:val="00550E4B"/>
    <w:rsid w:val="00560778"/>
    <w:rsid w:val="00570264"/>
    <w:rsid w:val="005A5B76"/>
    <w:rsid w:val="005C6DB0"/>
    <w:rsid w:val="00603E82"/>
    <w:rsid w:val="00610104"/>
    <w:rsid w:val="006216D4"/>
    <w:rsid w:val="00633D6E"/>
    <w:rsid w:val="006460EF"/>
    <w:rsid w:val="00646111"/>
    <w:rsid w:val="006523D8"/>
    <w:rsid w:val="00664EE9"/>
    <w:rsid w:val="006818F9"/>
    <w:rsid w:val="006A4D81"/>
    <w:rsid w:val="006C3B27"/>
    <w:rsid w:val="006E2B18"/>
    <w:rsid w:val="006E46D6"/>
    <w:rsid w:val="006F21D2"/>
    <w:rsid w:val="006F6419"/>
    <w:rsid w:val="00701E12"/>
    <w:rsid w:val="007021F0"/>
    <w:rsid w:val="007123BE"/>
    <w:rsid w:val="00712441"/>
    <w:rsid w:val="007416B9"/>
    <w:rsid w:val="00761EA7"/>
    <w:rsid w:val="00765A2E"/>
    <w:rsid w:val="00767A4B"/>
    <w:rsid w:val="007814C6"/>
    <w:rsid w:val="00786C57"/>
    <w:rsid w:val="007A1202"/>
    <w:rsid w:val="007E5C96"/>
    <w:rsid w:val="00803AFA"/>
    <w:rsid w:val="008048E1"/>
    <w:rsid w:val="008129A6"/>
    <w:rsid w:val="00821EF4"/>
    <w:rsid w:val="008479D6"/>
    <w:rsid w:val="00862D39"/>
    <w:rsid w:val="00866811"/>
    <w:rsid w:val="00877250"/>
    <w:rsid w:val="00884803"/>
    <w:rsid w:val="00886535"/>
    <w:rsid w:val="00887E15"/>
    <w:rsid w:val="008979E4"/>
    <w:rsid w:val="008A62BB"/>
    <w:rsid w:val="008B5D1F"/>
    <w:rsid w:val="008C7D83"/>
    <w:rsid w:val="009076CD"/>
    <w:rsid w:val="00934C25"/>
    <w:rsid w:val="00990948"/>
    <w:rsid w:val="00991DBA"/>
    <w:rsid w:val="009E4C86"/>
    <w:rsid w:val="009E6D7D"/>
    <w:rsid w:val="00A02869"/>
    <w:rsid w:val="00A10A28"/>
    <w:rsid w:val="00A5429A"/>
    <w:rsid w:val="00A6764C"/>
    <w:rsid w:val="00A80D1A"/>
    <w:rsid w:val="00A814F8"/>
    <w:rsid w:val="00A85DF0"/>
    <w:rsid w:val="00A97003"/>
    <w:rsid w:val="00AB2C92"/>
    <w:rsid w:val="00AC2442"/>
    <w:rsid w:val="00AC2FA0"/>
    <w:rsid w:val="00AD0D20"/>
    <w:rsid w:val="00AD226B"/>
    <w:rsid w:val="00AD6116"/>
    <w:rsid w:val="00AE1959"/>
    <w:rsid w:val="00AE6F23"/>
    <w:rsid w:val="00AF2302"/>
    <w:rsid w:val="00AF3539"/>
    <w:rsid w:val="00AF42F3"/>
    <w:rsid w:val="00AF5FBE"/>
    <w:rsid w:val="00B07DAF"/>
    <w:rsid w:val="00B23959"/>
    <w:rsid w:val="00B24A2C"/>
    <w:rsid w:val="00B409BC"/>
    <w:rsid w:val="00B510FA"/>
    <w:rsid w:val="00B72D74"/>
    <w:rsid w:val="00B779CF"/>
    <w:rsid w:val="00B85459"/>
    <w:rsid w:val="00B95A2D"/>
    <w:rsid w:val="00BB1853"/>
    <w:rsid w:val="00BB4731"/>
    <w:rsid w:val="00BB6CDC"/>
    <w:rsid w:val="00BE4725"/>
    <w:rsid w:val="00BE6CF1"/>
    <w:rsid w:val="00BF547B"/>
    <w:rsid w:val="00BF707F"/>
    <w:rsid w:val="00C07040"/>
    <w:rsid w:val="00C21162"/>
    <w:rsid w:val="00C3197B"/>
    <w:rsid w:val="00C62E73"/>
    <w:rsid w:val="00C77883"/>
    <w:rsid w:val="00C832D3"/>
    <w:rsid w:val="00CB3778"/>
    <w:rsid w:val="00CC5C34"/>
    <w:rsid w:val="00CD6D89"/>
    <w:rsid w:val="00CE3CDE"/>
    <w:rsid w:val="00CF36D1"/>
    <w:rsid w:val="00D03944"/>
    <w:rsid w:val="00D078F3"/>
    <w:rsid w:val="00D227CE"/>
    <w:rsid w:val="00D2553B"/>
    <w:rsid w:val="00D260E1"/>
    <w:rsid w:val="00D46CC5"/>
    <w:rsid w:val="00D7022F"/>
    <w:rsid w:val="00D73204"/>
    <w:rsid w:val="00D837F5"/>
    <w:rsid w:val="00D860E0"/>
    <w:rsid w:val="00DA4FC7"/>
    <w:rsid w:val="00DB23D6"/>
    <w:rsid w:val="00DB4378"/>
    <w:rsid w:val="00DC21BF"/>
    <w:rsid w:val="00DC2245"/>
    <w:rsid w:val="00DC692F"/>
    <w:rsid w:val="00DE6B5E"/>
    <w:rsid w:val="00DE6B9C"/>
    <w:rsid w:val="00DF0553"/>
    <w:rsid w:val="00E3527B"/>
    <w:rsid w:val="00E65E57"/>
    <w:rsid w:val="00E868EC"/>
    <w:rsid w:val="00EA2344"/>
    <w:rsid w:val="00ED1315"/>
    <w:rsid w:val="00EE18C5"/>
    <w:rsid w:val="00EE4F1A"/>
    <w:rsid w:val="00F026E0"/>
    <w:rsid w:val="00F10BB8"/>
    <w:rsid w:val="00F24494"/>
    <w:rsid w:val="00F413E1"/>
    <w:rsid w:val="00F430C2"/>
    <w:rsid w:val="00F74796"/>
    <w:rsid w:val="00FA0123"/>
    <w:rsid w:val="00FA721E"/>
    <w:rsid w:val="00FE1F2C"/>
    <w:rsid w:val="01343C35"/>
    <w:rsid w:val="015441BC"/>
    <w:rsid w:val="01DF79C5"/>
    <w:rsid w:val="025B0BD4"/>
    <w:rsid w:val="02B62AFF"/>
    <w:rsid w:val="034D18B2"/>
    <w:rsid w:val="03E203E0"/>
    <w:rsid w:val="03EF7383"/>
    <w:rsid w:val="04844854"/>
    <w:rsid w:val="05EC3946"/>
    <w:rsid w:val="06AC0501"/>
    <w:rsid w:val="073161DB"/>
    <w:rsid w:val="07736C45"/>
    <w:rsid w:val="07872210"/>
    <w:rsid w:val="08E67AA9"/>
    <w:rsid w:val="09FF5075"/>
    <w:rsid w:val="0A1F7DCE"/>
    <w:rsid w:val="0A7375B2"/>
    <w:rsid w:val="0C1E2070"/>
    <w:rsid w:val="0C275F3F"/>
    <w:rsid w:val="0C3B6B9E"/>
    <w:rsid w:val="0C922E30"/>
    <w:rsid w:val="0CD949B1"/>
    <w:rsid w:val="0DF748F5"/>
    <w:rsid w:val="0E4448F3"/>
    <w:rsid w:val="0E5E2860"/>
    <w:rsid w:val="0EBC43EC"/>
    <w:rsid w:val="0FD56096"/>
    <w:rsid w:val="106172ED"/>
    <w:rsid w:val="11027246"/>
    <w:rsid w:val="11883E00"/>
    <w:rsid w:val="12174EC6"/>
    <w:rsid w:val="12460407"/>
    <w:rsid w:val="12D149A6"/>
    <w:rsid w:val="12E64FF5"/>
    <w:rsid w:val="12EE053A"/>
    <w:rsid w:val="13BB777D"/>
    <w:rsid w:val="141862B2"/>
    <w:rsid w:val="14322531"/>
    <w:rsid w:val="14D25167"/>
    <w:rsid w:val="14F055D6"/>
    <w:rsid w:val="14F212EA"/>
    <w:rsid w:val="15652DAA"/>
    <w:rsid w:val="16501227"/>
    <w:rsid w:val="17B473C2"/>
    <w:rsid w:val="17D271A5"/>
    <w:rsid w:val="180A72FE"/>
    <w:rsid w:val="182868AE"/>
    <w:rsid w:val="18455E27"/>
    <w:rsid w:val="18831547"/>
    <w:rsid w:val="18893450"/>
    <w:rsid w:val="1A8B0292"/>
    <w:rsid w:val="1B9F7CA6"/>
    <w:rsid w:val="1C9054E9"/>
    <w:rsid w:val="1D41310E"/>
    <w:rsid w:val="1D6B06CF"/>
    <w:rsid w:val="1D6D3BD2"/>
    <w:rsid w:val="1DE21613"/>
    <w:rsid w:val="1DF63666"/>
    <w:rsid w:val="1E0D0FBE"/>
    <w:rsid w:val="1E364920"/>
    <w:rsid w:val="1EC83421"/>
    <w:rsid w:val="1F330F55"/>
    <w:rsid w:val="1F6E6131"/>
    <w:rsid w:val="201E1530"/>
    <w:rsid w:val="20F84124"/>
    <w:rsid w:val="21452025"/>
    <w:rsid w:val="21B76AE0"/>
    <w:rsid w:val="21D5653F"/>
    <w:rsid w:val="21E27DCE"/>
    <w:rsid w:val="221E0366"/>
    <w:rsid w:val="22D6753F"/>
    <w:rsid w:val="23110016"/>
    <w:rsid w:val="23620D1A"/>
    <w:rsid w:val="237B3E42"/>
    <w:rsid w:val="23A32E08"/>
    <w:rsid w:val="247509BC"/>
    <w:rsid w:val="247C2AEC"/>
    <w:rsid w:val="249B0E74"/>
    <w:rsid w:val="24B1643E"/>
    <w:rsid w:val="24F87EB7"/>
    <w:rsid w:val="25CF4697"/>
    <w:rsid w:val="269D6920"/>
    <w:rsid w:val="26C40D95"/>
    <w:rsid w:val="272922EB"/>
    <w:rsid w:val="27424579"/>
    <w:rsid w:val="274E038B"/>
    <w:rsid w:val="27770A39"/>
    <w:rsid w:val="28660E58"/>
    <w:rsid w:val="28B50BD7"/>
    <w:rsid w:val="28E76302"/>
    <w:rsid w:val="29263821"/>
    <w:rsid w:val="298978D0"/>
    <w:rsid w:val="2A234631"/>
    <w:rsid w:val="2A3C0BEA"/>
    <w:rsid w:val="2F782E8B"/>
    <w:rsid w:val="2F874408"/>
    <w:rsid w:val="2FAB664D"/>
    <w:rsid w:val="2FCE2CA3"/>
    <w:rsid w:val="32181796"/>
    <w:rsid w:val="32927883"/>
    <w:rsid w:val="32D57073"/>
    <w:rsid w:val="32E0414D"/>
    <w:rsid w:val="32FA4B9F"/>
    <w:rsid w:val="33637BDB"/>
    <w:rsid w:val="34741569"/>
    <w:rsid w:val="34C37DE1"/>
    <w:rsid w:val="352630BF"/>
    <w:rsid w:val="35F1547D"/>
    <w:rsid w:val="373D66F1"/>
    <w:rsid w:val="374E17CB"/>
    <w:rsid w:val="37691FF5"/>
    <w:rsid w:val="3793297C"/>
    <w:rsid w:val="37A32ECD"/>
    <w:rsid w:val="37AB1B65"/>
    <w:rsid w:val="37C001F2"/>
    <w:rsid w:val="38192198"/>
    <w:rsid w:val="3831361A"/>
    <w:rsid w:val="3870436D"/>
    <w:rsid w:val="38FE3710"/>
    <w:rsid w:val="39123BB1"/>
    <w:rsid w:val="39324E64"/>
    <w:rsid w:val="398A41CF"/>
    <w:rsid w:val="39D8513B"/>
    <w:rsid w:val="3BB52984"/>
    <w:rsid w:val="3BCE0D76"/>
    <w:rsid w:val="3C2105FF"/>
    <w:rsid w:val="3C2B5E46"/>
    <w:rsid w:val="3C677B59"/>
    <w:rsid w:val="3C812767"/>
    <w:rsid w:val="3CFB3440"/>
    <w:rsid w:val="3D734CA5"/>
    <w:rsid w:val="3EAE3767"/>
    <w:rsid w:val="3F150D8C"/>
    <w:rsid w:val="40E6578E"/>
    <w:rsid w:val="4176014F"/>
    <w:rsid w:val="42680F26"/>
    <w:rsid w:val="42714011"/>
    <w:rsid w:val="43CC374D"/>
    <w:rsid w:val="43F55B69"/>
    <w:rsid w:val="444631D1"/>
    <w:rsid w:val="44A57770"/>
    <w:rsid w:val="44B32884"/>
    <w:rsid w:val="44CA2EEC"/>
    <w:rsid w:val="44EC107E"/>
    <w:rsid w:val="452A1AEE"/>
    <w:rsid w:val="45726E6D"/>
    <w:rsid w:val="457345FE"/>
    <w:rsid w:val="45CA5863"/>
    <w:rsid w:val="465935F7"/>
    <w:rsid w:val="46B0341C"/>
    <w:rsid w:val="475A449F"/>
    <w:rsid w:val="47745049"/>
    <w:rsid w:val="478C4E3C"/>
    <w:rsid w:val="47A43767"/>
    <w:rsid w:val="47AE390E"/>
    <w:rsid w:val="485559BC"/>
    <w:rsid w:val="491856F9"/>
    <w:rsid w:val="493417A6"/>
    <w:rsid w:val="49AB04EC"/>
    <w:rsid w:val="4A015677"/>
    <w:rsid w:val="4A416461"/>
    <w:rsid w:val="4A7C1DA2"/>
    <w:rsid w:val="4A8A3CC5"/>
    <w:rsid w:val="4AC2736B"/>
    <w:rsid w:val="4B702179"/>
    <w:rsid w:val="4BB46342"/>
    <w:rsid w:val="4BF623B7"/>
    <w:rsid w:val="4C0A34CE"/>
    <w:rsid w:val="4D144D0B"/>
    <w:rsid w:val="4D377BF5"/>
    <w:rsid w:val="4D5153DD"/>
    <w:rsid w:val="4D572B44"/>
    <w:rsid w:val="4E326C84"/>
    <w:rsid w:val="4E3C24E9"/>
    <w:rsid w:val="4E4E2408"/>
    <w:rsid w:val="4F1C538E"/>
    <w:rsid w:val="4F2B7952"/>
    <w:rsid w:val="4F5A77A5"/>
    <w:rsid w:val="4F5F1347"/>
    <w:rsid w:val="4FD00101"/>
    <w:rsid w:val="503C7AAB"/>
    <w:rsid w:val="50F413DD"/>
    <w:rsid w:val="51E909F0"/>
    <w:rsid w:val="51F55A16"/>
    <w:rsid w:val="51FB77C6"/>
    <w:rsid w:val="527D1264"/>
    <w:rsid w:val="53404825"/>
    <w:rsid w:val="53813090"/>
    <w:rsid w:val="53D22156"/>
    <w:rsid w:val="54281796"/>
    <w:rsid w:val="54CE4CA4"/>
    <w:rsid w:val="55583378"/>
    <w:rsid w:val="55794BB0"/>
    <w:rsid w:val="55802B56"/>
    <w:rsid w:val="55B347D2"/>
    <w:rsid w:val="56162CC9"/>
    <w:rsid w:val="569A4429"/>
    <w:rsid w:val="571D387C"/>
    <w:rsid w:val="57593233"/>
    <w:rsid w:val="57EA769F"/>
    <w:rsid w:val="58234804"/>
    <w:rsid w:val="583E0E16"/>
    <w:rsid w:val="587B59B6"/>
    <w:rsid w:val="58C46118"/>
    <w:rsid w:val="5957661E"/>
    <w:rsid w:val="59BB6342"/>
    <w:rsid w:val="59DB4679"/>
    <w:rsid w:val="5A2D0246"/>
    <w:rsid w:val="5A2F4103"/>
    <w:rsid w:val="5A87311A"/>
    <w:rsid w:val="5AF53A87"/>
    <w:rsid w:val="5B6372BA"/>
    <w:rsid w:val="5BAB1071"/>
    <w:rsid w:val="5BCB6169"/>
    <w:rsid w:val="5BE34A4E"/>
    <w:rsid w:val="5CE9292E"/>
    <w:rsid w:val="5D3959B1"/>
    <w:rsid w:val="5DCA5FA9"/>
    <w:rsid w:val="5E521D73"/>
    <w:rsid w:val="5F3E2C00"/>
    <w:rsid w:val="5FE96E67"/>
    <w:rsid w:val="606D714B"/>
    <w:rsid w:val="60732927"/>
    <w:rsid w:val="60C110C9"/>
    <w:rsid w:val="60E21846"/>
    <w:rsid w:val="60F46C91"/>
    <w:rsid w:val="60FE69AF"/>
    <w:rsid w:val="6131159B"/>
    <w:rsid w:val="61657B33"/>
    <w:rsid w:val="61A067CD"/>
    <w:rsid w:val="62026F36"/>
    <w:rsid w:val="6345240D"/>
    <w:rsid w:val="644D0143"/>
    <w:rsid w:val="64E1366E"/>
    <w:rsid w:val="65C22480"/>
    <w:rsid w:val="66007D67"/>
    <w:rsid w:val="66295856"/>
    <w:rsid w:val="66726157"/>
    <w:rsid w:val="67C21B9B"/>
    <w:rsid w:val="67D9593F"/>
    <w:rsid w:val="682A60F2"/>
    <w:rsid w:val="68E36708"/>
    <w:rsid w:val="695D4175"/>
    <w:rsid w:val="6A057CE5"/>
    <w:rsid w:val="6A190E9F"/>
    <w:rsid w:val="6A8504D0"/>
    <w:rsid w:val="6AD05952"/>
    <w:rsid w:val="6B065C4D"/>
    <w:rsid w:val="6BA32EA6"/>
    <w:rsid w:val="6C117390"/>
    <w:rsid w:val="6CD824B2"/>
    <w:rsid w:val="6D1945D1"/>
    <w:rsid w:val="6DA951F4"/>
    <w:rsid w:val="6E0A58FC"/>
    <w:rsid w:val="6E2476C2"/>
    <w:rsid w:val="6F9F49B0"/>
    <w:rsid w:val="6FD54E8A"/>
    <w:rsid w:val="70206657"/>
    <w:rsid w:val="70562CE7"/>
    <w:rsid w:val="711A1C9E"/>
    <w:rsid w:val="71411B5D"/>
    <w:rsid w:val="715C2428"/>
    <w:rsid w:val="715F6CDB"/>
    <w:rsid w:val="71C6563A"/>
    <w:rsid w:val="71CA0EB0"/>
    <w:rsid w:val="720D141A"/>
    <w:rsid w:val="72A204A0"/>
    <w:rsid w:val="72C26316"/>
    <w:rsid w:val="73177E6E"/>
    <w:rsid w:val="73326919"/>
    <w:rsid w:val="73892D1C"/>
    <w:rsid w:val="744318F3"/>
    <w:rsid w:val="749331CE"/>
    <w:rsid w:val="74D44721"/>
    <w:rsid w:val="75076A10"/>
    <w:rsid w:val="75AB309B"/>
    <w:rsid w:val="761558C9"/>
    <w:rsid w:val="768C460E"/>
    <w:rsid w:val="76CF1C1E"/>
    <w:rsid w:val="773B56AB"/>
    <w:rsid w:val="77C71871"/>
    <w:rsid w:val="77CF011D"/>
    <w:rsid w:val="78160D2B"/>
    <w:rsid w:val="782D2F68"/>
    <w:rsid w:val="788F4CD8"/>
    <w:rsid w:val="79194C3C"/>
    <w:rsid w:val="79E92285"/>
    <w:rsid w:val="79EF26F4"/>
    <w:rsid w:val="7A0A5919"/>
    <w:rsid w:val="7A2465E9"/>
    <w:rsid w:val="7A8F5AA2"/>
    <w:rsid w:val="7B0E3DF2"/>
    <w:rsid w:val="7B4B2CFB"/>
    <w:rsid w:val="7BD44AB5"/>
    <w:rsid w:val="7C0C4D1D"/>
    <w:rsid w:val="7C282F2D"/>
    <w:rsid w:val="7C6A62AD"/>
    <w:rsid w:val="7C7236B9"/>
    <w:rsid w:val="7C7C44BA"/>
    <w:rsid w:val="7D5676DD"/>
    <w:rsid w:val="7E32042F"/>
    <w:rsid w:val="7E6D0694"/>
    <w:rsid w:val="7E75126E"/>
    <w:rsid w:val="7E9B37B2"/>
    <w:rsid w:val="7EB10D15"/>
    <w:rsid w:val="7EF377C6"/>
    <w:rsid w:val="7F370E72"/>
    <w:rsid w:val="7F5A30FD"/>
    <w:rsid w:val="7F6310E9"/>
    <w:rsid w:val="7F9E1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420" w:firstLineChars="200"/>
      <w:outlineLvl w:val="3"/>
    </w:pPr>
    <w:rPr>
      <w:rFonts w:ascii="宋体" w:hAnsi="宋体"/>
      <w:bCs/>
      <w:kern w:val="0"/>
      <w:sz w:val="20"/>
      <w:szCs w:val="20"/>
      <w:lang w:val="en-GB"/>
    </w:rPr>
  </w:style>
  <w:style w:type="paragraph" w:styleId="3">
    <w:name w:val="Body Text First Indent 2"/>
    <w:basedOn w:val="2"/>
    <w:next w:val="4"/>
    <w:qFormat/>
    <w:uiPriority w:val="0"/>
  </w:style>
  <w:style w:type="paragraph" w:styleId="4">
    <w:name w:val="Body Text"/>
    <w:basedOn w:val="1"/>
    <w:next w:val="2"/>
    <w:semiHidden/>
    <w:qFormat/>
    <w:uiPriority w:val="0"/>
    <w:rPr>
      <w:rFonts w:ascii="仿宋" w:hAnsi="仿宋" w:eastAsia="仿宋" w:cs="仿宋"/>
      <w:sz w:val="31"/>
      <w:szCs w:val="31"/>
      <w:lang w:eastAsia="en-US"/>
    </w:rPr>
  </w:style>
  <w:style w:type="paragraph" w:styleId="5">
    <w:name w:val="annotation text"/>
    <w:basedOn w:val="1"/>
    <w:link w:val="19"/>
    <w:semiHidden/>
    <w:unhideWhenUsed/>
    <w:qFormat/>
    <w:uiPriority w:val="99"/>
    <w:pPr>
      <w:jc w:val="left"/>
    </w:pPr>
  </w:style>
  <w:style w:type="paragraph" w:styleId="6">
    <w:name w:val="Block Text"/>
    <w:basedOn w:val="1"/>
    <w:next w:val="1"/>
    <w:qFormat/>
    <w:uiPriority w:val="0"/>
    <w:pPr>
      <w:snapToGrid w:val="0"/>
      <w:spacing w:after="160" w:line="360" w:lineRule="auto"/>
      <w:ind w:left="-15" w:right="103" w:firstLine="447"/>
      <w:jc w:val="left"/>
    </w:pPr>
    <w:rPr>
      <w:rFonts w:ascii="宋体" w:hAnsi="宋体" w:eastAsiaTheme="minorEastAsia" w:cstheme="minorBidi"/>
      <w:spacing w:val="-2"/>
      <w:sz w:val="24"/>
      <w:szCs w:val="20"/>
      <w14:ligatures w14:val="standardContextual"/>
    </w:rPr>
  </w:style>
  <w:style w:type="paragraph" w:styleId="7">
    <w:name w:val="Plain Text"/>
    <w:basedOn w:val="1"/>
    <w:unhideWhenUsed/>
    <w:qFormat/>
    <w:uiPriority w:val="99"/>
    <w:rPr>
      <w:rFonts w:hAnsi="Courier New" w:cs="Courier New" w:asciiTheme="minorEastAsia"/>
    </w:rPr>
  </w:style>
  <w:style w:type="paragraph" w:styleId="8">
    <w:name w:val="Balloon Text"/>
    <w:basedOn w:val="1"/>
    <w:link w:val="21"/>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5"/>
    <w:next w:val="5"/>
    <w:link w:val="20"/>
    <w:semiHidden/>
    <w:unhideWhenUsed/>
    <w:qFormat/>
    <w:uiPriority w:val="99"/>
    <w:rPr>
      <w:b/>
      <w:bCs/>
    </w:rPr>
  </w:style>
  <w:style w:type="character" w:styleId="14">
    <w:name w:val="Hyperlink"/>
    <w:basedOn w:val="13"/>
    <w:unhideWhenUsed/>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10"/>
    <w:qFormat/>
    <w:uiPriority w:val="99"/>
    <w:rPr>
      <w:sz w:val="18"/>
      <w:szCs w:val="18"/>
    </w:rPr>
  </w:style>
  <w:style w:type="character" w:customStyle="1" w:styleId="17">
    <w:name w:val="页脚 Char"/>
    <w:basedOn w:val="13"/>
    <w:link w:val="9"/>
    <w:qFormat/>
    <w:uiPriority w:val="99"/>
    <w:rPr>
      <w:sz w:val="18"/>
      <w:szCs w:val="18"/>
    </w:rPr>
  </w:style>
  <w:style w:type="paragraph" w:styleId="18">
    <w:name w:val="No Spacing"/>
    <w:qFormat/>
    <w:uiPriority w:val="1"/>
    <w:pPr>
      <w:widowControl w:val="0"/>
    </w:pPr>
    <w:rPr>
      <w:rFonts w:asciiTheme="minorHAnsi" w:hAnsiTheme="minorHAnsi" w:eastAsiaTheme="minorEastAsia" w:cstheme="minorBidi"/>
      <w:kern w:val="2"/>
      <w:sz w:val="22"/>
      <w:szCs w:val="24"/>
      <w:lang w:val="en-US" w:eastAsia="zh-CN" w:bidi="ar-SA"/>
      <w14:ligatures w14:val="standardContextual"/>
    </w:rPr>
  </w:style>
  <w:style w:type="character" w:customStyle="1" w:styleId="19">
    <w:name w:val="批注文字 Char"/>
    <w:basedOn w:val="13"/>
    <w:link w:val="5"/>
    <w:semiHidden/>
    <w:qFormat/>
    <w:uiPriority w:val="99"/>
    <w:rPr>
      <w:rFonts w:ascii="Calibri" w:hAnsi="Calibri" w:eastAsia="微软雅黑" w:cs="Times New Roman"/>
      <w:szCs w:val="24"/>
    </w:rPr>
  </w:style>
  <w:style w:type="character" w:customStyle="1" w:styleId="20">
    <w:name w:val="批注主题 Char"/>
    <w:basedOn w:val="19"/>
    <w:link w:val="11"/>
    <w:semiHidden/>
    <w:qFormat/>
    <w:uiPriority w:val="99"/>
    <w:rPr>
      <w:rFonts w:ascii="Calibri" w:hAnsi="Calibri" w:eastAsia="微软雅黑" w:cs="Times New Roman"/>
      <w:b/>
      <w:bCs/>
      <w:szCs w:val="24"/>
    </w:rPr>
  </w:style>
  <w:style w:type="character" w:customStyle="1" w:styleId="21">
    <w:name w:val="批注框文本 Char"/>
    <w:basedOn w:val="13"/>
    <w:link w:val="8"/>
    <w:semiHidden/>
    <w:qFormat/>
    <w:uiPriority w:val="99"/>
    <w:rPr>
      <w:rFonts w:ascii="Calibri" w:hAnsi="Calibri" w:eastAsia="微软雅黑"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7CEFE-AA87-4441-A099-7FE81CF84FA9}">
  <ds:schemaRefs/>
</ds:datastoreItem>
</file>

<file path=docProps/app.xml><?xml version="1.0" encoding="utf-8"?>
<Properties xmlns="http://schemas.openxmlformats.org/officeDocument/2006/extended-properties" xmlns:vt="http://schemas.openxmlformats.org/officeDocument/2006/docPropsVTypes">
  <Template>Normal</Template>
  <Company>AB</Company>
  <Pages>14</Pages>
  <Words>1555</Words>
  <Characters>8870</Characters>
  <Lines>73</Lines>
  <Paragraphs>20</Paragraphs>
  <TotalTime>160</TotalTime>
  <ScaleCrop>false</ScaleCrop>
  <LinksUpToDate>false</LinksUpToDate>
  <CharactersWithSpaces>10405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2025-11-06T02:21:00Z</dcterms:created>
  <dc:creator>邱素萍</dc:creator>
  <cp:lastModifiedBy> </cp:lastModifiedBy>
  <cp:lastPrinted>2025-09-01T05:49:00Z</cp:lastPrinted>
  <dcterms:modified xsi:type="dcterms:W3CDTF">2026-05-13T01:21:21Z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51DB694B96AE40188516F1DDA4A1D052</vt:lpwstr>
  </property>
</Properties>
</file>