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4AB7">
      <w:pPr>
        <w:rPr>
          <w:rFonts w:ascii="华文宋体" w:hAnsi="华文宋体" w:eastAsia="华文宋体"/>
        </w:rPr>
      </w:pPr>
    </w:p>
    <w:p w14:paraId="3940AFFD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2D1E3A14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3C5C446F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5E03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E05ECA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295BC9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4D66E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E847D6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9C6BDE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□其他</w:t>
            </w:r>
          </w:p>
        </w:tc>
      </w:tr>
      <w:tr w14:paraId="1D3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7CEAAC6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016EB7A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B53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vAlign w:val="center"/>
          </w:tcPr>
          <w:p w14:paraId="01EA800A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4AC7F762">
            <w:pPr>
              <w:pStyle w:val="9"/>
              <w:tabs>
                <w:tab w:val="right" w:pos="6446"/>
              </w:tabs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浙商证券、惠升基金、宽潭私募基金、前海开源基金、天治基金、景顺长城基金、长安基金、正圆私募基金、上海勤远资产、泰信基金、长城财富保险资产、中国银河证券、先锋基金</w:t>
            </w:r>
          </w:p>
        </w:tc>
      </w:tr>
      <w:tr w14:paraId="0B39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2C86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26BC1E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2026年05月12日</w:t>
            </w:r>
          </w:p>
        </w:tc>
      </w:tr>
      <w:tr w14:paraId="3BFC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06C48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6694FF9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A10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Align w:val="center"/>
          </w:tcPr>
          <w:p w14:paraId="071922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35C13C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67A078A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654B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3F09D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3E7D789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0" w:name="_Toc22819157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1.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2025年业绩下滑、2026年第一季度业绩爆发的主要原因？</w:t>
            </w:r>
          </w:p>
          <w:p w14:paraId="09DC452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一方面原因在于春节时点的变动。公司冲泡产品具有一定的礼赠属性，销售旺季窗口与春节时点关联度高，2025年春节在阳历一月份，2026年春节在阳历二月份，导致了2025年第一季度、第四季度旺季时间段的缩短，以及2026年第一季度旺季时间段的拉长。</w:t>
            </w:r>
          </w:p>
          <w:p w14:paraId="5C9A5E6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另一方面在于公司对于渠道价值链的梳理。在2025年外部消费环境的疲软以及春节时间点变动的大环境下，公司以稳为主，针对渠道价值链进行了系统化的梳理，对价盘、货物流动等进行了优化改革，同时加强了对经销商订货的指导，带动经销商经营积极性的提升，从而为2026年第一季度的业绩增长做了铺垫。</w:t>
            </w:r>
          </w:p>
          <w:p w14:paraId="69CF2E7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从旺季销售的结果来看，冲泡产品仍然有着较强的增长韧性，发展仍然比较稳健。</w:t>
            </w:r>
          </w:p>
          <w:p w14:paraId="03C8963A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2、公司鲜果茶推出的反馈情况？</w:t>
            </w:r>
          </w:p>
          <w:p w14:paraId="45663C2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答：今年3月，公司在Meco果茶“真实果汁+原茶”的配方基础上，推出了添加NFC果汁的“鲜果茶”产品，并采用减糖配方，来满足</w:t>
            </w:r>
            <w:bookmarkStart w:id="1" w:name="OLE_LINK1"/>
            <w:bookmarkStart w:id="2" w:name="OLE_LINK2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当前消费者</w:t>
            </w:r>
            <w:bookmarkEnd w:id="1"/>
            <w:bookmarkEnd w:id="2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对口感新鲜度、及减糖的需求。从目前的销售情况来看，该产品具备不错的销售潜力。</w:t>
            </w:r>
          </w:p>
          <w:p w14:paraId="782502BE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3、药食同源系列产品的发展？</w:t>
            </w:r>
          </w:p>
          <w:p w14:paraId="6465E9F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与“古方八舒”两款产品，属于公司“古方养生系列”，是公司根据药食同源的产品逻辑，传承改良经典方剂，使用道地食材搭配非遗熬膏工艺制成，分别针对缓解女性生理期痛经并提供补气益血的暖养需求，以及缓解部分睡眠障碍人群改善睡眠质量的需求。</w:t>
            </w:r>
          </w:p>
          <w:p w14:paraId="59FE406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对于古方养生系列的两款产品，目前仍处在市场测试及线上推广阶段，取得了一系列的积极反馈。公司未来会持续聚焦消费者的养生需求，探索更多产品创新。</w:t>
            </w:r>
            <w:bookmarkStart w:id="3" w:name="_Toc220603295"/>
          </w:p>
          <w:p w14:paraId="369596B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Meco果茶在礼品市场的表现？</w:t>
            </w:r>
          </w:p>
          <w:p w14:paraId="4B16FFD2">
            <w:pPr>
              <w:spacing w:line="300" w:lineRule="auto"/>
              <w:ind w:firstLine="420" w:firstLineChars="2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2025年礼品销售旺季，公司在安徽礼品市场对果茶的礼品装进行了推广，经销商反馈较好。2026年，公司会继续针对礼品市场进行发力，同时探索与果茶相适配的特通渠道。此外，对于零食量贩、餐饮、会员店等新兴势能渠道，将通过定制化继续寻找增量。</w:t>
            </w:r>
          </w:p>
          <w:p w14:paraId="3296738E">
            <w:pPr>
              <w:spacing w:line="30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</w:t>
            </w:r>
            <w:bookmarkEnd w:id="3"/>
            <w:bookmarkStart w:id="4" w:name="_Toc228191592"/>
            <w:r>
              <w:rPr>
                <w:rFonts w:hint="eastAsia" w:ascii="宋体" w:hAnsi="宋体" w:eastAsia="宋体"/>
                <w:b/>
                <w:bCs/>
                <w:szCs w:val="21"/>
              </w:rPr>
              <w:t>2026年对于零食、餐饮、会员店渠道的开发规划？</w:t>
            </w:r>
            <w:bookmarkEnd w:id="4"/>
          </w:p>
          <w:p w14:paraId="354E8AD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答：零食量贩渠道，截至2026年第一季度，公司直营的终端门店已经达到4万家。2026年，公司将通过与更多零食量贩系统达成合作，进一步提升终端数量。</w:t>
            </w:r>
          </w:p>
          <w:p w14:paraId="4FCDD65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针对餐饮渠道，2025年公司通过试点，验证了公司产品在餐饮渠道的业务逻辑。2026年，结合Meco果茶的产品特点，公司将会聚焦火锅、烧烤等重口味场景以及自助餐消费场景，来拓展餐饮渠道。</w:t>
            </w:r>
          </w:p>
          <w:p w14:paraId="2F75168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会员店方面，公司将继续通过“定制化产品”进行开拓。</w:t>
            </w:r>
          </w:p>
          <w:p w14:paraId="1BA65174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5" w:name="_Toc220603299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</w:t>
            </w:r>
            <w:bookmarkEnd w:id="5"/>
            <w:bookmarkStart w:id="6" w:name="_Toc228191587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026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年冻柠茶的销售思路？</w:t>
            </w:r>
            <w:bookmarkEnd w:id="6"/>
          </w:p>
          <w:p w14:paraId="122BF25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答：瓶装形态的兰芳园冻柠茶，目前主要在集中在北京、广东两个地区及线上渠道进行销售。同时在餐饮渠道，冻柠茶推出了280ml的小包装定制产品。未来，公司将继续观察其销售潜力，维持常态化运营态势。</w:t>
            </w:r>
          </w:p>
          <w:p w14:paraId="7D031CF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7、公司海外业务的规划？未来泰国生产基地主要面向的市场？</w:t>
            </w:r>
          </w:p>
          <w:p w14:paraId="449EB721">
            <w:pPr>
              <w:spacing w:line="30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当前，海外市场存在较大的发展机会，公司积极重视海外市场的开拓，将逐步推进对海外市场的探索。公司计划将泰国作为杯装饮料的生产基地和出口枢纽，目标覆盖柬老缅越及更广泛的东盟市场。产品将定位高端杯装果茶，以异国热带风味、真实果汁、低糖零脂肪及高端透明杯包装实现差异化，区别于瓶装竞品，满足当地年轻群体对高端健康饮品的需求。同时，公司将积极利用泰国优质热带水果，维持成本和供应的稳定，并打造“泰国原产”卖点。</w:t>
            </w:r>
          </w:p>
          <w:p w14:paraId="148282B9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7" w:name="_Toc220603313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8、2025年代言人的效果？后续对于产品代言人的规划？</w:t>
            </w:r>
            <w:bookmarkEnd w:id="7"/>
          </w:p>
          <w:p w14:paraId="27F1923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2025年，公司签约了时代少年团、侯佩岑、孙颖莎分别作为Meco果茶、新会陈皮月光白轻乳茶、原叶现泡系列产品的代言人。从官宣代言人后的产品线上销量、产品品牌话题讨论度来看，取得了不错的宣传效果。</w:t>
            </w:r>
          </w:p>
          <w:p w14:paraId="0306DB3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根据消费者的喜好并结合公司产品特征签订代言人，是公司2025年优化品牌营销策略的一环，在签约代言人的同时，公司还开展了跨界联名、快闪等年轻消费者喜爱的营销形式，均取得了一定的效果。</w:t>
            </w:r>
          </w:p>
          <w:p w14:paraId="1FED441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后续，公司会结合业务情况，继续选用合适的品牌营销方式，来加强与消费者的沟通。</w:t>
            </w:r>
          </w:p>
          <w:p w14:paraId="256F28A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9" w:name="_GoBack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9、</w:t>
            </w:r>
            <w:bookmarkEnd w:id="9"/>
            <w:bookmarkStart w:id="8" w:name="_Toc228191578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公司对于2026年的业绩展望？</w:t>
            </w:r>
            <w:bookmarkEnd w:id="8"/>
          </w:p>
          <w:p w14:paraId="5D120B6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一季度，公司产品销售情况相比2025年一季度实现一定的改善，特别是冲泡产品旺季销售恢复正常，对于今年上半年以及全年的业绩有积极的作用。考虑到目前外部环境的不确定性较强，公司对全年的业绩保持谨慎乐观的预期。公司将锚定长期发展目标，以健康可持续经营为核心根基，持续推动各板块业务优化改善，聚焦养生赛道，加大资源投入与布局力度，不断提升经营质量与市场竞争力，最终实现企业盈利的稳步达成。</w:t>
            </w:r>
          </w:p>
        </w:tc>
      </w:tr>
    </w:tbl>
    <w:p w14:paraId="67C3D9B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843D7"/>
    <w:multiLevelType w:val="singleLevel"/>
    <w:tmpl w:val="020843D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5212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098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2FDB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5FF8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4E2E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0D8E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200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A8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87E89"/>
    <w:rsid w:val="002908D9"/>
    <w:rsid w:val="00291115"/>
    <w:rsid w:val="00292B49"/>
    <w:rsid w:val="00294983"/>
    <w:rsid w:val="00294AB4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908"/>
    <w:rsid w:val="002B4223"/>
    <w:rsid w:val="002B4DCB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668"/>
    <w:rsid w:val="002C4BD0"/>
    <w:rsid w:val="002C4EEE"/>
    <w:rsid w:val="002C5181"/>
    <w:rsid w:val="002C520C"/>
    <w:rsid w:val="002C6E24"/>
    <w:rsid w:val="002C708E"/>
    <w:rsid w:val="002D0493"/>
    <w:rsid w:val="002D04BB"/>
    <w:rsid w:val="002D14EE"/>
    <w:rsid w:val="002D271F"/>
    <w:rsid w:val="002D4331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0674A"/>
    <w:rsid w:val="00310786"/>
    <w:rsid w:val="00310D66"/>
    <w:rsid w:val="00311C67"/>
    <w:rsid w:val="00312372"/>
    <w:rsid w:val="003165B1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342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3107"/>
    <w:rsid w:val="00394F1F"/>
    <w:rsid w:val="003954AC"/>
    <w:rsid w:val="003956F2"/>
    <w:rsid w:val="0039615A"/>
    <w:rsid w:val="003961E5"/>
    <w:rsid w:val="003A028E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1A2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4CE9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1A2"/>
    <w:rsid w:val="0044026C"/>
    <w:rsid w:val="00440516"/>
    <w:rsid w:val="00441449"/>
    <w:rsid w:val="0044177F"/>
    <w:rsid w:val="00441D6D"/>
    <w:rsid w:val="00442D86"/>
    <w:rsid w:val="004446AF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B0"/>
    <w:rsid w:val="004815F5"/>
    <w:rsid w:val="00481A4F"/>
    <w:rsid w:val="00482652"/>
    <w:rsid w:val="004862D6"/>
    <w:rsid w:val="004863AC"/>
    <w:rsid w:val="0048788C"/>
    <w:rsid w:val="004924C3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D76C6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19C0"/>
    <w:rsid w:val="004F4374"/>
    <w:rsid w:val="004F4C31"/>
    <w:rsid w:val="004F4DEE"/>
    <w:rsid w:val="0050025D"/>
    <w:rsid w:val="0050120B"/>
    <w:rsid w:val="005018EF"/>
    <w:rsid w:val="00501A04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271BC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1AF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862A5"/>
    <w:rsid w:val="005909B5"/>
    <w:rsid w:val="005915C8"/>
    <w:rsid w:val="00592762"/>
    <w:rsid w:val="00593488"/>
    <w:rsid w:val="00594A9C"/>
    <w:rsid w:val="00596AA6"/>
    <w:rsid w:val="005A02F6"/>
    <w:rsid w:val="005A04C4"/>
    <w:rsid w:val="005A082E"/>
    <w:rsid w:val="005A0A61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650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5C9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3C0"/>
    <w:rsid w:val="0067777D"/>
    <w:rsid w:val="00681126"/>
    <w:rsid w:val="006818B3"/>
    <w:rsid w:val="0068376A"/>
    <w:rsid w:val="00683A98"/>
    <w:rsid w:val="006847E9"/>
    <w:rsid w:val="0068543A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33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A7322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2BB"/>
    <w:rsid w:val="006D13D8"/>
    <w:rsid w:val="006D285F"/>
    <w:rsid w:val="006D39D7"/>
    <w:rsid w:val="006D4C9E"/>
    <w:rsid w:val="006D52B3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101D"/>
    <w:rsid w:val="006F2BA9"/>
    <w:rsid w:val="006F3CDE"/>
    <w:rsid w:val="006F530C"/>
    <w:rsid w:val="006F53DD"/>
    <w:rsid w:val="006F67CC"/>
    <w:rsid w:val="006F6BE6"/>
    <w:rsid w:val="007006C1"/>
    <w:rsid w:val="007006D8"/>
    <w:rsid w:val="007010C6"/>
    <w:rsid w:val="00701A69"/>
    <w:rsid w:val="00701A9D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240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4FF2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369"/>
    <w:rsid w:val="007A1688"/>
    <w:rsid w:val="007A1E15"/>
    <w:rsid w:val="007A1E2F"/>
    <w:rsid w:val="007A2ADE"/>
    <w:rsid w:val="007A2E80"/>
    <w:rsid w:val="007A3025"/>
    <w:rsid w:val="007A30B1"/>
    <w:rsid w:val="007A464B"/>
    <w:rsid w:val="007A6400"/>
    <w:rsid w:val="007A6C0E"/>
    <w:rsid w:val="007B11C1"/>
    <w:rsid w:val="007B158E"/>
    <w:rsid w:val="007B2CE0"/>
    <w:rsid w:val="007B3F64"/>
    <w:rsid w:val="007B4F1F"/>
    <w:rsid w:val="007B52B2"/>
    <w:rsid w:val="007B5670"/>
    <w:rsid w:val="007B5D78"/>
    <w:rsid w:val="007B5FA1"/>
    <w:rsid w:val="007B6619"/>
    <w:rsid w:val="007B6D22"/>
    <w:rsid w:val="007B71A2"/>
    <w:rsid w:val="007B7792"/>
    <w:rsid w:val="007C0385"/>
    <w:rsid w:val="007C4A31"/>
    <w:rsid w:val="007C6622"/>
    <w:rsid w:val="007D08D4"/>
    <w:rsid w:val="007D1438"/>
    <w:rsid w:val="007D2988"/>
    <w:rsid w:val="007D2995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D63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4FD6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434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5AD3"/>
    <w:rsid w:val="00826440"/>
    <w:rsid w:val="0082737A"/>
    <w:rsid w:val="008301EB"/>
    <w:rsid w:val="00831BC2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57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8A0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109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854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179"/>
    <w:rsid w:val="008F745A"/>
    <w:rsid w:val="008F76CE"/>
    <w:rsid w:val="00900554"/>
    <w:rsid w:val="009033FE"/>
    <w:rsid w:val="00903E5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4D4B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01FD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300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6453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1CD1"/>
    <w:rsid w:val="00A727F9"/>
    <w:rsid w:val="00A73493"/>
    <w:rsid w:val="00A74656"/>
    <w:rsid w:val="00A76186"/>
    <w:rsid w:val="00A76DF0"/>
    <w:rsid w:val="00A77D00"/>
    <w:rsid w:val="00A8014E"/>
    <w:rsid w:val="00A8042D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82B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1E0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0D40"/>
    <w:rsid w:val="00B1300C"/>
    <w:rsid w:val="00B14D25"/>
    <w:rsid w:val="00B15904"/>
    <w:rsid w:val="00B1598D"/>
    <w:rsid w:val="00B15C94"/>
    <w:rsid w:val="00B165D2"/>
    <w:rsid w:val="00B16A65"/>
    <w:rsid w:val="00B17F1D"/>
    <w:rsid w:val="00B20216"/>
    <w:rsid w:val="00B21C0D"/>
    <w:rsid w:val="00B22180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6C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1961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1B53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578A2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A78C0"/>
    <w:rsid w:val="00CB004A"/>
    <w:rsid w:val="00CB2264"/>
    <w:rsid w:val="00CB2704"/>
    <w:rsid w:val="00CB33F0"/>
    <w:rsid w:val="00CB38AC"/>
    <w:rsid w:val="00CB4478"/>
    <w:rsid w:val="00CB4BB5"/>
    <w:rsid w:val="00CB56EF"/>
    <w:rsid w:val="00CB5B51"/>
    <w:rsid w:val="00CB6BE1"/>
    <w:rsid w:val="00CB6F2A"/>
    <w:rsid w:val="00CB7824"/>
    <w:rsid w:val="00CC001D"/>
    <w:rsid w:val="00CC2191"/>
    <w:rsid w:val="00CC21D5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250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5C16"/>
    <w:rsid w:val="00D17749"/>
    <w:rsid w:val="00D206E6"/>
    <w:rsid w:val="00D20C5A"/>
    <w:rsid w:val="00D20DE3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6BD3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39FC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345E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42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17A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5E6B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88C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470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D7448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B9E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182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0A3"/>
    <w:rsid w:val="00F82B2D"/>
    <w:rsid w:val="00F82B8E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9CE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667"/>
    <w:rsid w:val="00FD3CAE"/>
    <w:rsid w:val="00FD66FD"/>
    <w:rsid w:val="00FD6ABE"/>
    <w:rsid w:val="00FD7A3F"/>
    <w:rsid w:val="00FD7A86"/>
    <w:rsid w:val="00FE0DFF"/>
    <w:rsid w:val="00FE1C8D"/>
    <w:rsid w:val="00FE2095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0FF6840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4663E3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A7D7F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2E2EBC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0FFD5413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64F38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642C5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55596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87673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CF0F80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55220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976C4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BF1C70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70E27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C53C18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A6197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205A3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81A04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3D70A6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63ECC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9E8192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0484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A1753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13C93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B95A6A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1F6574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B70B4A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66174A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164324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41A1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1FD7D76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6A0696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EF4BC3"/>
    <w:rsid w:val="7AF14A4D"/>
    <w:rsid w:val="7AF23DD1"/>
    <w:rsid w:val="7AF2642E"/>
    <w:rsid w:val="7AF95D1E"/>
    <w:rsid w:val="7AFC34D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1B03CE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paragraph" w:customStyle="1" w:styleId="24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列出段落4"/>
    <w:basedOn w:val="1"/>
    <w:unhideWhenUsed/>
    <w:qFormat/>
    <w:uiPriority w:val="99"/>
    <w:pPr>
      <w:ind w:firstLine="420" w:firstLineChars="200"/>
    </w:p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3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5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修订3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List Paragraph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等线" w:hAnsi="等线" w:eastAsia="等线" w:cs="Times New Roman"/>
      <w:szCs w:val="21"/>
    </w:rPr>
  </w:style>
  <w:style w:type="paragraph" w:customStyle="1" w:styleId="71">
    <w:name w:val="修订3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修订4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2040</Words>
  <Characters>2129</Characters>
  <Lines>16</Lines>
  <Paragraphs>4</Paragraphs>
  <TotalTime>2</TotalTime>
  <ScaleCrop>false</ScaleCrop>
  <LinksUpToDate>false</LinksUpToDate>
  <CharactersWithSpaces>2214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2026-05-14T06:12:00Z</dcterms:created>
  <dc:creator>myji</dc:creator>
  <cp:lastModifiedBy>wqy</cp:lastModifiedBy>
  <cp:lastPrinted>2021-02-09T11:46:00Z</cp:lastPrinted>
  <dcterms:modified xsi:type="dcterms:W3CDTF">2026-05-14T06:22:06Z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