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1D195">
      <w:pPr>
        <w:pageBreakBefore w:val="0"/>
        <w:widowControl/>
        <w:kinsoku/>
        <w:wordWrap/>
        <w:overflowPunct/>
        <w:topLinePunct w:val="0"/>
        <w:autoSpaceDE/>
        <w:autoSpaceDN/>
        <w:bidi w:val="0"/>
        <w:adjustRightInd w:val="0"/>
        <w:snapToGrid w:val="0"/>
        <w:spacing w:after="0" w:line="360" w:lineRule="auto"/>
        <w:ind w:left="0" w:firstLine="640" w:firstLineChars="200"/>
        <w:jc w:val="center"/>
        <w:textAlignment w:val="auto"/>
        <w:rPr>
          <w:rFonts w:ascii="黑体" w:hAnsi="黑体" w:eastAsia="黑体"/>
          <w:color w:val="auto"/>
          <w:sz w:val="32"/>
          <w:szCs w:val="32"/>
        </w:rPr>
      </w:pPr>
      <w:r>
        <w:rPr>
          <w:rFonts w:hint="eastAsia" w:ascii="黑体" w:hAnsi="黑体" w:eastAsia="黑体"/>
          <w:color w:val="auto"/>
          <w:sz w:val="32"/>
          <w:szCs w:val="32"/>
        </w:rPr>
        <w:t>中青旅控股股份有限公司</w:t>
      </w:r>
    </w:p>
    <w:p w14:paraId="1D12717F">
      <w:pPr>
        <w:pageBreakBefore w:val="0"/>
        <w:widowControl/>
        <w:kinsoku/>
        <w:wordWrap/>
        <w:overflowPunct/>
        <w:topLinePunct w:val="0"/>
        <w:autoSpaceDE/>
        <w:autoSpaceDN/>
        <w:bidi w:val="0"/>
        <w:adjustRightInd w:val="0"/>
        <w:snapToGrid w:val="0"/>
        <w:spacing w:after="0" w:line="360" w:lineRule="auto"/>
        <w:ind w:left="0" w:firstLine="640" w:firstLineChars="200"/>
        <w:jc w:val="center"/>
        <w:textAlignment w:val="auto"/>
        <w:rPr>
          <w:rFonts w:hint="eastAsia" w:ascii="黑体" w:hAnsi="黑体" w:eastAsia="黑体"/>
          <w:color w:val="auto"/>
          <w:sz w:val="32"/>
          <w:szCs w:val="32"/>
        </w:rPr>
      </w:pPr>
      <w:r>
        <w:rPr>
          <w:rFonts w:hint="eastAsia" w:ascii="黑体" w:hAnsi="黑体" w:eastAsia="黑体"/>
          <w:color w:val="auto"/>
          <w:sz w:val="32"/>
          <w:szCs w:val="32"/>
        </w:rPr>
        <w:t>投资者调研会议记录</w:t>
      </w:r>
    </w:p>
    <w:p w14:paraId="5DAE190F">
      <w:pPr>
        <w:pageBreakBefore w:val="0"/>
        <w:widowControl/>
        <w:kinsoku/>
        <w:wordWrap/>
        <w:overflowPunct/>
        <w:topLinePunct w:val="0"/>
        <w:autoSpaceDE/>
        <w:autoSpaceDN/>
        <w:bidi w:val="0"/>
        <w:adjustRightInd w:val="0"/>
        <w:snapToGrid w:val="0"/>
        <w:spacing w:after="0" w:line="360" w:lineRule="auto"/>
        <w:textAlignment w:val="auto"/>
        <w:rPr>
          <w:rFonts w:ascii="宋体" w:hAnsi="宋体" w:eastAsia="宋体"/>
          <w:b/>
          <w:color w:val="auto"/>
          <w:sz w:val="24"/>
        </w:rPr>
      </w:pPr>
      <w:r>
        <w:rPr>
          <w:rFonts w:hint="eastAsia" w:ascii="宋体" w:hAnsi="宋体" w:eastAsia="宋体"/>
          <w:b/>
          <w:color w:val="auto"/>
          <w:sz w:val="24"/>
        </w:rPr>
        <w:t>时  间：202</w:t>
      </w:r>
      <w:r>
        <w:rPr>
          <w:rFonts w:hint="eastAsia" w:ascii="宋体" w:hAnsi="宋体" w:eastAsia="宋体"/>
          <w:b/>
          <w:color w:val="auto"/>
          <w:sz w:val="24"/>
          <w:lang w:val="en-US" w:eastAsia="zh-CN"/>
        </w:rPr>
        <w:t>6</w:t>
      </w:r>
      <w:r>
        <w:rPr>
          <w:rFonts w:hint="eastAsia" w:ascii="宋体" w:hAnsi="宋体" w:eastAsia="宋体"/>
          <w:b/>
          <w:color w:val="auto"/>
          <w:sz w:val="24"/>
        </w:rPr>
        <w:t>年</w:t>
      </w:r>
      <w:r>
        <w:rPr>
          <w:rFonts w:hint="eastAsia" w:ascii="宋体" w:hAnsi="宋体" w:eastAsia="宋体"/>
          <w:b/>
          <w:color w:val="auto"/>
          <w:sz w:val="24"/>
          <w:lang w:val="en-US" w:eastAsia="zh-CN"/>
        </w:rPr>
        <w:t>4</w:t>
      </w:r>
      <w:r>
        <w:rPr>
          <w:rFonts w:hint="eastAsia" w:ascii="宋体" w:hAnsi="宋体" w:eastAsia="宋体"/>
          <w:b/>
          <w:color w:val="auto"/>
          <w:sz w:val="24"/>
        </w:rPr>
        <w:t>月</w:t>
      </w:r>
      <w:r>
        <w:rPr>
          <w:rFonts w:hint="eastAsia" w:ascii="宋体" w:hAnsi="宋体" w:eastAsia="宋体"/>
          <w:b/>
          <w:color w:val="auto"/>
          <w:sz w:val="24"/>
          <w:lang w:val="en-US" w:eastAsia="zh-CN"/>
        </w:rPr>
        <w:t>30</w:t>
      </w:r>
      <w:r>
        <w:rPr>
          <w:rFonts w:hint="eastAsia" w:ascii="宋体" w:hAnsi="宋体" w:eastAsia="宋体"/>
          <w:b/>
          <w:color w:val="auto"/>
          <w:sz w:val="24"/>
        </w:rPr>
        <w:t>日</w:t>
      </w:r>
      <w:r>
        <w:rPr>
          <w:rFonts w:ascii="宋体" w:hAnsi="宋体" w:eastAsia="宋体"/>
          <w:b/>
          <w:color w:val="auto"/>
          <w:sz w:val="24"/>
        </w:rPr>
        <w:br w:type="textWrapping"/>
      </w:r>
      <w:r>
        <w:rPr>
          <w:rFonts w:hint="eastAsia" w:ascii="宋体" w:hAnsi="宋体" w:eastAsia="宋体"/>
          <w:b/>
          <w:color w:val="auto"/>
          <w:sz w:val="24"/>
        </w:rPr>
        <w:t>方  式：</w:t>
      </w:r>
      <w:r>
        <w:rPr>
          <w:rFonts w:hint="eastAsia" w:ascii="宋体" w:hAnsi="宋体" w:eastAsia="宋体"/>
          <w:b/>
          <w:color w:val="auto"/>
          <w:sz w:val="24"/>
          <w:lang w:val="en-US" w:eastAsia="zh-CN"/>
        </w:rPr>
        <w:t>电话</w:t>
      </w:r>
      <w:r>
        <w:rPr>
          <w:rFonts w:hint="eastAsia" w:ascii="宋体" w:hAnsi="宋体" w:eastAsia="宋体"/>
          <w:b/>
          <w:color w:val="auto"/>
          <w:sz w:val="24"/>
        </w:rPr>
        <w:t>调研</w:t>
      </w:r>
    </w:p>
    <w:p w14:paraId="6849A9F2">
      <w:pPr>
        <w:pageBreakBefore w:val="0"/>
        <w:widowControl/>
        <w:kinsoku/>
        <w:wordWrap/>
        <w:overflowPunct/>
        <w:topLinePunct w:val="0"/>
        <w:autoSpaceDE/>
        <w:autoSpaceDN/>
        <w:bidi w:val="0"/>
        <w:adjustRightInd w:val="0"/>
        <w:snapToGrid w:val="0"/>
        <w:spacing w:after="0" w:line="360" w:lineRule="auto"/>
        <w:textAlignment w:val="auto"/>
        <w:rPr>
          <w:rFonts w:hint="default" w:ascii="黑体" w:hAnsi="黑体" w:eastAsia="宋体"/>
          <w:color w:val="auto"/>
          <w:sz w:val="32"/>
          <w:szCs w:val="32"/>
          <w:lang w:val="en-US" w:eastAsia="zh-CN"/>
        </w:rPr>
      </w:pPr>
      <w:r>
        <w:rPr>
          <w:rFonts w:ascii="宋体" w:hAnsi="宋体" w:eastAsia="宋体"/>
          <w:b/>
          <w:color w:val="auto"/>
          <w:sz w:val="24"/>
        </w:rPr>
        <w:t>接待人</w:t>
      </w:r>
      <w:r>
        <w:rPr>
          <w:rFonts w:hint="eastAsia" w:ascii="宋体" w:hAnsi="宋体" w:eastAsia="宋体"/>
          <w:b/>
          <w:color w:val="auto"/>
          <w:sz w:val="24"/>
        </w:rPr>
        <w:t>：</w:t>
      </w:r>
      <w:r>
        <w:rPr>
          <w:rFonts w:ascii="宋体" w:hAnsi="宋体" w:eastAsia="宋体"/>
          <w:b/>
          <w:color w:val="auto"/>
          <w:sz w:val="24"/>
        </w:rPr>
        <w:t>董事会秘书</w:t>
      </w:r>
      <w:r>
        <w:rPr>
          <w:rFonts w:hint="eastAsia" w:ascii="宋体" w:hAnsi="宋体" w:eastAsia="宋体"/>
          <w:b/>
          <w:color w:val="auto"/>
          <w:sz w:val="24"/>
        </w:rPr>
        <w:t xml:space="preserve"> </w:t>
      </w:r>
      <w:r>
        <w:rPr>
          <w:rFonts w:hint="eastAsia" w:ascii="宋体" w:hAnsi="宋体" w:eastAsia="宋体"/>
          <w:b/>
          <w:color w:val="auto"/>
          <w:sz w:val="24"/>
          <w:lang w:val="en-US" w:eastAsia="zh-CN"/>
        </w:rPr>
        <w:t>高鹭华</w:t>
      </w:r>
    </w:p>
    <w:p w14:paraId="60E95497">
      <w:pPr>
        <w:pageBreakBefore w:val="0"/>
        <w:widowControl/>
        <w:kinsoku/>
        <w:wordWrap/>
        <w:overflowPunct/>
        <w:topLinePunct w:val="0"/>
        <w:autoSpaceDE/>
        <w:autoSpaceDN/>
        <w:bidi w:val="0"/>
        <w:adjustRightInd w:val="0"/>
        <w:snapToGrid w:val="0"/>
        <w:spacing w:after="0" w:line="360" w:lineRule="auto"/>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出  席：中信证券、申万宏源、国信证券、汇丰普信基金等</w:t>
      </w:r>
    </w:p>
    <w:p w14:paraId="4E6AD174">
      <w:pPr>
        <w:pStyle w:val="3"/>
        <w:pageBreakBefore w:val="0"/>
        <w:widowControl/>
        <w:kinsoku/>
        <w:wordWrap/>
        <w:overflowPunct/>
        <w:topLinePunct w:val="0"/>
        <w:autoSpaceDE/>
        <w:autoSpaceDN/>
        <w:bidi w:val="0"/>
        <w:adjustRightInd w:val="0"/>
        <w:snapToGrid w:val="0"/>
        <w:spacing w:before="0" w:after="0" w:line="360" w:lineRule="auto"/>
        <w:ind w:left="0" w:firstLine="562" w:firstLineChars="200"/>
        <w:textAlignment w:val="auto"/>
        <w:rPr>
          <w:rFonts w:ascii="Arial" w:hAnsi="Arial" w:eastAsia="黑体" w:cs="Arial"/>
          <w:b/>
          <w:bCs/>
          <w:color w:val="auto"/>
          <w:sz w:val="28"/>
          <w:szCs w:val="28"/>
          <w:lang w:eastAsia="zh-CN"/>
        </w:rPr>
      </w:pPr>
    </w:p>
    <w:p w14:paraId="2F749934">
      <w:pPr>
        <w:pStyle w:val="3"/>
        <w:pageBreakBefore w:val="0"/>
        <w:widowControl/>
        <w:kinsoku/>
        <w:wordWrap/>
        <w:overflowPunct/>
        <w:topLinePunct w:val="0"/>
        <w:autoSpaceDE/>
        <w:autoSpaceDN/>
        <w:bidi w:val="0"/>
        <w:adjustRightInd w:val="0"/>
        <w:snapToGrid w:val="0"/>
        <w:spacing w:before="0" w:after="0" w:line="360" w:lineRule="auto"/>
        <w:ind w:left="0" w:firstLine="562" w:firstLineChars="200"/>
        <w:textAlignment w:val="auto"/>
        <w:rPr>
          <w:rFonts w:ascii="Arial" w:hAnsi="Arial" w:eastAsia="黑体" w:cs="Arial"/>
          <w:b/>
          <w:bCs/>
          <w:color w:val="auto"/>
          <w:sz w:val="28"/>
          <w:szCs w:val="28"/>
          <w:lang w:eastAsia="zh-CN"/>
        </w:rPr>
      </w:pPr>
    </w:p>
    <w:p w14:paraId="1D96B517">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经营情况回顾：</w:t>
      </w:r>
    </w:p>
    <w:p w14:paraId="5389DEE0">
      <w:pPr>
        <w:pStyle w:val="26"/>
        <w:keepNext w:val="0"/>
        <w:keepLines w:val="0"/>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公司一季度整体实现营业收入23.59亿元，同比增长14.85%，受传统旅游淡季和行业竞争加剧影响，净亏损3690万元。策略性业务（IT硬件代理和系统集成业务、中青旅大厦租赁业务）为收入和利润的重要贡献来源，已连续三年保持约20%的增速，风险可控，是公司现金流和利润的稳定支撑。</w:t>
      </w:r>
    </w:p>
    <w:p w14:paraId="6B381389">
      <w:pPr>
        <w:pStyle w:val="4"/>
        <w:pageBreakBefore w:val="0"/>
        <w:widowControl/>
        <w:kinsoku/>
        <w:wordWrap/>
        <w:overflowPunct/>
        <w:topLinePunct w:val="0"/>
        <w:autoSpaceDE/>
        <w:autoSpaceDN/>
        <w:bidi w:val="0"/>
        <w:adjustRightInd w:val="0"/>
        <w:snapToGrid w:val="0"/>
        <w:spacing w:before="0" w:after="0" w:line="360" w:lineRule="auto"/>
        <w:ind w:left="0"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乌镇景区</w:t>
      </w:r>
    </w:p>
    <w:p w14:paraId="615258A4">
      <w:pPr>
        <w:pStyle w:val="26"/>
        <w:keepNext w:val="0"/>
        <w:keepLines w:val="0"/>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一季度累计接待游客134.38万人次，其中东栅37.79万人次、西栅96.59万人次；实现营业收入3.32亿元，同比增长6.61%；净利润3526万元，同比增长64%。</w:t>
      </w:r>
    </w:p>
    <w:p w14:paraId="660082C6">
      <w:pPr>
        <w:pStyle w:val="26"/>
        <w:keepNext w:val="0"/>
        <w:keepLines w:val="0"/>
        <w:pageBreakBefore w:val="0"/>
        <w:widowControl/>
        <w:numPr>
          <w:numId w:val="0"/>
        </w:numPr>
        <w:kinsoku/>
        <w:wordWrap/>
        <w:overflowPunct/>
        <w:topLinePunct w:val="0"/>
        <w:autoSpaceDE/>
        <w:autoSpaceDN/>
        <w:bidi w:val="0"/>
        <w:adjustRightInd w:val="0"/>
        <w:snapToGrid w:val="0"/>
        <w:spacing w:before="0" w:after="0" w:line="360" w:lineRule="auto"/>
        <w:ind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运营亮点</w:t>
      </w:r>
      <w:r>
        <w:rPr>
          <w:rFonts w:hint="eastAsia" w:ascii="宋体" w:hAnsi="宋体" w:eastAsia="宋体" w:cs="宋体"/>
          <w:color w:val="auto"/>
          <w:sz w:val="24"/>
          <w:szCs w:val="24"/>
          <w:lang w:eastAsia="zh-CN"/>
        </w:rPr>
        <w:t>，融合年俗、戏剧、科技、文化四大元素，迭代升级嘉年华、光影秀、水陆年市、长街宴等经典项目，推出诸神IP走秀、乌将军护佑巡游等特色项目，打造沉浸式交互体验。借力综艺《向往的生活》开展全域传播，覆盖摄影、IP爱好者、高端老年旅拍等细分客群，通过摄影展、市集活动强化品牌。升级亲子研学体系，联合上海民办教育协会举办乌镇全人教育峰会，发布乌村户外教育课程，实现研学硬件设施国际化、课程导师团队全服务闭环升级，奠定华东景区研学领域领先地位。门票收入占比略有下降，但餐饮、酒店板块表现亮眼，客房房价和入住率较2025年实现双增长，剔除房产减值负面影响后业绩表现更优。</w:t>
      </w:r>
    </w:p>
    <w:p w14:paraId="6BB75A9C">
      <w:pPr>
        <w:pStyle w:val="26"/>
        <w:keepNext w:val="0"/>
        <w:keepLines w:val="0"/>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未来运营规划</w:t>
      </w:r>
      <w:r>
        <w:rPr>
          <w:rFonts w:hint="eastAsia" w:ascii="宋体" w:hAnsi="宋体" w:eastAsia="宋体" w:cs="宋体"/>
          <w:color w:val="auto"/>
          <w:sz w:val="24"/>
          <w:szCs w:val="24"/>
          <w:lang w:eastAsia="zh-CN"/>
        </w:rPr>
        <w:t>持续提升餐饮、酒店、商铺、体验活动等二次消费占比，2025年至今该趋势延续。突破原有景区物理边界，在东栅、西栅外拓展乌村等多元化业态，布局北栅丝厂、粮仓、南栅小吃市集、文化文艺类活动，丰富消费场景。依托互联网大会、戏剧节两大核心IP，强化会议会展功能，保持文化属性+文旅商综合功能的目的地竞争优势。清明至五一期间经营表现预计与2025年同期持平，全年营收、利润有望保持良好态势，客单价仍有增长空间。</w:t>
      </w:r>
    </w:p>
    <w:p w14:paraId="4739ACBE">
      <w:pPr>
        <w:pStyle w:val="26"/>
        <w:keepNext w:val="0"/>
        <w:keepLines w:val="0"/>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利润端改善原因</w:t>
      </w:r>
      <w:r>
        <w:rPr>
          <w:rFonts w:hint="eastAsia" w:ascii="宋体" w:hAnsi="宋体" w:eastAsia="宋体" w:cs="宋体"/>
          <w:color w:val="auto"/>
          <w:sz w:val="24"/>
          <w:szCs w:val="24"/>
          <w:lang w:eastAsia="zh-CN"/>
        </w:rPr>
        <w:t>，收入端客房产品价值感提升带动房价、入住率双升，推动收入结构优化。成本端优化员工结构，缩减固定员工人数，旺季采用灵活用工模式降低人工成本；折旧费用逐年降低；现金流充裕提升与银行议价能力，结合整体资金成本下行，财务费用持续优化。</w:t>
      </w:r>
    </w:p>
    <w:p w14:paraId="0AA4DD41">
      <w:pPr>
        <w:pStyle w:val="4"/>
        <w:pageBreakBefore w:val="0"/>
        <w:widowControl/>
        <w:kinsoku/>
        <w:wordWrap/>
        <w:overflowPunct/>
        <w:topLinePunct w:val="0"/>
        <w:autoSpaceDE/>
        <w:autoSpaceDN/>
        <w:bidi w:val="0"/>
        <w:adjustRightInd w:val="0"/>
        <w:snapToGrid w:val="0"/>
        <w:spacing w:before="0" w:after="0" w:line="360" w:lineRule="auto"/>
        <w:ind w:left="0"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古北水镇</w:t>
      </w:r>
    </w:p>
    <w:p w14:paraId="71C8AD20">
      <w:pPr>
        <w:pStyle w:val="26"/>
        <w:keepNext w:val="0"/>
        <w:keepLines w:val="0"/>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一季度业绩表现：累计接待游客32.97万人次，同比增长94%；实现营业收入8090万元，与上年基本持平，受益于收入结构优化实现减亏，但受固定人工、折旧费用影响净利润仍承压。</w:t>
      </w:r>
    </w:p>
    <w:p w14:paraId="32085B88">
      <w:pPr>
        <w:pStyle w:val="26"/>
        <w:keepNext w:val="0"/>
        <w:keepLines w:val="0"/>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运营亮点</w:t>
      </w:r>
      <w:r>
        <w:rPr>
          <w:rFonts w:hint="eastAsia" w:ascii="宋体" w:hAnsi="宋体" w:eastAsia="宋体" w:cs="宋体"/>
          <w:color w:val="auto"/>
          <w:sz w:val="24"/>
          <w:szCs w:val="24"/>
          <w:lang w:eastAsia="zh-CN"/>
        </w:rPr>
        <w:t>，依托司马台长城特色资源，融合北方风俗文化与现代科技，打造全周期文旅产品矩阵，推出长城冰雪节、火舞寒川非遗演绎、梦回长城观星夜巡游、甲胄巡礼、实景体验、机器狗舞狮、长城音乐水舞秀等项目。与颐和园等IP开展跨界联动，实现文旅资源互导，拓宽客群来源；推出惠民营销及1个多月的阶段性免票优惠政策，扭转前期客流承压态势。取消无人机表演，新增打铁花等非遗表演、消费项目，丰富二次消费供给。</w:t>
      </w:r>
    </w:p>
    <w:p w14:paraId="6A22F180">
      <w:pPr>
        <w:pStyle w:val="26"/>
        <w:keepNext w:val="0"/>
        <w:keepLines w:val="0"/>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未来运营规划</w:t>
      </w:r>
      <w:r>
        <w:rPr>
          <w:rFonts w:hint="eastAsia" w:ascii="宋体" w:hAnsi="宋体" w:eastAsia="宋体" w:cs="宋体"/>
          <w:color w:val="auto"/>
          <w:sz w:val="24"/>
          <w:szCs w:val="24"/>
          <w:lang w:eastAsia="zh-CN"/>
        </w:rPr>
        <w:t>，现阶段以客流培育为核心，阶段性采取降价、营销类政策吸引游客，体验司马台长城独特资源价值，短期客单价有所回落。长期战略与乌镇一致，待客流回升稳定后，逐步提升二次消费占比，优化收入结构，推动客单价回升。</w:t>
      </w:r>
    </w:p>
    <w:p w14:paraId="5997AA05">
      <w:pPr>
        <w:pStyle w:val="4"/>
        <w:pageBreakBefore w:val="0"/>
        <w:widowControl/>
        <w:kinsoku/>
        <w:wordWrap/>
        <w:overflowPunct/>
        <w:topLinePunct w:val="0"/>
        <w:autoSpaceDE/>
        <w:autoSpaceDN/>
        <w:bidi w:val="0"/>
        <w:adjustRightInd w:val="0"/>
        <w:snapToGrid w:val="0"/>
        <w:spacing w:before="0" w:after="0" w:line="360" w:lineRule="auto"/>
        <w:ind w:left="0"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整合营销（中青博联）</w:t>
      </w:r>
    </w:p>
    <w:p w14:paraId="5F500932">
      <w:pPr>
        <w:pStyle w:val="26"/>
        <w:keepNext w:val="0"/>
        <w:keepLines w:val="0"/>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季度营业收入同比有所增长，持续保持行业领先地位，服务了2026中关村论坛等高规格会议展览活动，启动国际汽车及供应商博览会香港招商工作，同时承接联想国际消费类电子产品展览会服务、米兰冬奥会赞助商活动营销等多个大型境内外企业营销项目。</w:t>
      </w:r>
    </w:p>
    <w:p w14:paraId="19ED3302">
      <w:pPr>
        <w:pStyle w:val="26"/>
        <w:keepNext w:val="0"/>
        <w:keepLines w:val="0"/>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行业特性上，一季度并非利润结算期，利润贡献主要集中在二、三季度及年底，虽然受政府、企业会展预算削减的政策影响，2026年仍有望保持稳定的营收和利润，巩固行业头部地位。</w:t>
      </w:r>
    </w:p>
    <w:p w14:paraId="3BCA9643">
      <w:pPr>
        <w:pStyle w:val="4"/>
        <w:pageBreakBefore w:val="0"/>
        <w:widowControl/>
        <w:kinsoku/>
        <w:wordWrap/>
        <w:overflowPunct/>
        <w:topLinePunct w:val="0"/>
        <w:autoSpaceDE/>
        <w:autoSpaceDN/>
        <w:bidi w:val="0"/>
        <w:adjustRightInd w:val="0"/>
        <w:snapToGrid w:val="0"/>
        <w:spacing w:before="0" w:after="0" w:line="360" w:lineRule="auto"/>
        <w:ind w:left="0"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旅行社业务</w:t>
      </w:r>
    </w:p>
    <w:p w14:paraId="65F36D91">
      <w:pPr>
        <w:pStyle w:val="26"/>
        <w:keepNext w:val="0"/>
        <w:keepLines w:val="0"/>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受国际形势、免签政策等因素影响，一季度营收及净利润较去年同期有所下降，但通过加大产品研发力度、丰富产品供给，有效分散市场风险，整体保持盈亏平衡。</w:t>
      </w:r>
    </w:p>
    <w:p w14:paraId="3189785F">
      <w:pPr>
        <w:pStyle w:val="26"/>
        <w:keepNext w:val="0"/>
        <w:keepLines w:val="0"/>
        <w:pageBreakBefore w:val="0"/>
        <w:widowControl/>
        <w:numPr>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2025年旅行社板块营收20亿元，占公司总营收的20%，实现小幅盈利，盈利部分包含境外签证中心的收入贡献。2026年面临的压力：多个盈利较好的签证中心对应国家宣布免签，中东局势、日本游轮相关业务受冲击较大。</w:t>
      </w:r>
    </w:p>
    <w:p w14:paraId="61C35B5F">
      <w:pPr>
        <w:pStyle w:val="26"/>
        <w:keepNext w:val="0"/>
        <w:keepLines w:val="0"/>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应对措施：</w:t>
      </w:r>
      <w:r>
        <w:rPr>
          <w:rFonts w:hint="eastAsia" w:ascii="宋体" w:hAnsi="宋体" w:eastAsia="宋体" w:cs="宋体"/>
          <w:color w:val="auto"/>
          <w:sz w:val="24"/>
          <w:szCs w:val="24"/>
          <w:lang w:eastAsia="zh-CN"/>
        </w:rPr>
        <w:t>针对旅游市场从观光向体验游转型的趋势，补充自由行、私家小团等热门产品，推进极地高端项目、游轮航线切仓，打造东欧包机、长滩、富国岛切位等爆款产品。</w:t>
      </w:r>
      <w:bookmarkStart w:id="0" w:name="_GoBack"/>
      <w:bookmarkEnd w:id="0"/>
      <w:r>
        <w:rPr>
          <w:rFonts w:hint="eastAsia" w:ascii="宋体" w:hAnsi="宋体" w:eastAsia="宋体" w:cs="宋体"/>
          <w:color w:val="auto"/>
          <w:sz w:val="24"/>
          <w:szCs w:val="24"/>
          <w:lang w:eastAsia="zh-CN"/>
        </w:rPr>
        <w:t>拓展国内游、研学等产品线，平衡业务结构。</w:t>
      </w:r>
    </w:p>
    <w:p w14:paraId="1E952D38">
      <w:pPr>
        <w:pStyle w:val="26"/>
        <w:keepNext w:val="0"/>
        <w:keepLines w:val="0"/>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业务结构：出境游业务占比约50%，入境游规模较小，同时布局国内游、研学业务；后续将配合国家政策，在巩固出境游优势的同时，重点拓展入境游、国内游业务。</w:t>
      </w:r>
    </w:p>
    <w:p w14:paraId="5BF491C9">
      <w:pPr>
        <w:pStyle w:val="4"/>
        <w:pageBreakBefore w:val="0"/>
        <w:widowControl/>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酒店业务</w:t>
      </w:r>
    </w:p>
    <w:p w14:paraId="5089C10F">
      <w:pPr>
        <w:pStyle w:val="26"/>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山水酒店营业收入进一步下降，持续处于亏损状态，是公司主要亏损点。</w:t>
      </w:r>
    </w:p>
    <w:p w14:paraId="4FC02BA6">
      <w:pPr>
        <w:pStyle w:val="4"/>
        <w:pageBreakBefore w:val="0"/>
        <w:widowControl/>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股东支持与公司战略规划</w:t>
      </w:r>
    </w:p>
    <w:p w14:paraId="1A5758EC">
      <w:pPr>
        <w:pStyle w:val="26"/>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光大集团将中青旅作为实业板块“三大一新”核心业务之一（其余为生态环保、养老），针对实业企业特性实施“一司一策”考核，给予业务发展支持。</w:t>
      </w:r>
    </w:p>
    <w:p w14:paraId="23FB1281">
      <w:pPr>
        <w:pStyle w:val="26"/>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资本开支规划：乌镇互联网大会配套投入已基本完成，无新增大型项目资本开支；未来仅需对运营多年的旧有配套设施进行年度更新改造，属于常规性开支，无新增大额投入。</w:t>
      </w:r>
    </w:p>
    <w:p w14:paraId="72019E40">
      <w:pPr>
        <w:pStyle w:val="26"/>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房产库存消化规划：2025年年报中已对乌镇房产计提减值准备，未来加快房产库存消化，</w:t>
      </w:r>
      <w:r>
        <w:rPr>
          <w:rFonts w:hint="eastAsia" w:ascii="宋体" w:hAnsi="宋体" w:eastAsia="宋体" w:cs="宋体"/>
          <w:color w:val="auto"/>
          <w:sz w:val="24"/>
          <w:szCs w:val="24"/>
          <w:lang w:val="en-US" w:eastAsia="zh-CN"/>
        </w:rPr>
        <w:t>综合运用转自用与景区联动运营管理等举措</w:t>
      </w:r>
      <w:r>
        <w:rPr>
          <w:rFonts w:hint="eastAsia" w:ascii="宋体" w:hAnsi="宋体" w:eastAsia="宋体" w:cs="宋体"/>
          <w:color w:val="auto"/>
          <w:sz w:val="24"/>
          <w:szCs w:val="24"/>
          <w:lang w:eastAsia="zh-CN"/>
        </w:rPr>
        <w:t>减轻业绩压力。</w:t>
      </w:r>
    </w:p>
    <w:p w14:paraId="4320F0B7">
      <w:pPr>
        <w:pStyle w:val="26"/>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假日经济承接规划：长三角春假政策已对乌镇营收、入住率产生正向拉动作用，后续将依托乌村等亲子、研学业态，进一步承接春假、秋假客流；古北水镇核心客群来自北京周边，目前北京暂无春秋假政策，将关注后续相关政策动态。</w:t>
      </w:r>
    </w:p>
    <w:p w14:paraId="61BF72DF">
      <w:pPr>
        <w:pStyle w:val="26"/>
        <w:pageBreakBefore w:val="0"/>
        <w:widowControl/>
        <w:numPr>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未来客群拓展方向：针对游客需求多元化、小众目的地旅游热度上升的趋势，重点探索吸引小众目的地偏好游客的服务模式，适配市场需求变化。</w:t>
      </w:r>
    </w:p>
    <w:p w14:paraId="56E6BAE3">
      <w:pPr>
        <w:pStyle w:val="25"/>
        <w:pageBreakBefore w:val="0"/>
        <w:widowControl/>
        <w:kinsoku/>
        <w:wordWrap/>
        <w:overflowPunct/>
        <w:topLinePunct w:val="0"/>
        <w:autoSpaceDE/>
        <w:autoSpaceDN/>
        <w:bidi w:val="0"/>
        <w:adjustRightInd w:val="0"/>
        <w:snapToGrid w:val="0"/>
        <w:spacing w:before="0" w:after="0" w:line="360" w:lineRule="auto"/>
        <w:ind w:left="0" w:firstLine="482" w:firstLineChars="200"/>
        <w:textAlignment w:val="auto"/>
        <w:rPr>
          <w:rFonts w:hint="eastAsia" w:ascii="宋体" w:hAnsi="宋体" w:eastAsia="宋体" w:cs="宋体"/>
          <w:b/>
          <w:bCs/>
          <w:color w:val="auto"/>
          <w:sz w:val="24"/>
          <w:szCs w:val="24"/>
          <w:lang w:eastAsia="zh-CN"/>
        </w:rPr>
      </w:pPr>
    </w:p>
    <w:p w14:paraId="0009F64A">
      <w:pPr>
        <w:pStyle w:val="25"/>
        <w:pageBreakBefore w:val="0"/>
        <w:widowControl/>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问题一</w:t>
      </w:r>
      <w:r>
        <w:rPr>
          <w:rFonts w:hint="eastAsia" w:ascii="宋体" w:hAnsi="宋体" w:eastAsia="宋体" w:cs="宋体"/>
          <w:b/>
          <w:bCs/>
          <w:color w:val="auto"/>
          <w:sz w:val="24"/>
          <w:szCs w:val="24"/>
          <w:lang w:eastAsia="zh-CN"/>
        </w:rPr>
        <w:t>： 公司乌镇、古北水镇两大景区一季度经营情况如何？古北水镇游客人次大幅增长的原因是什么？能否从产品结构等维度做具体拆解？</w:t>
      </w:r>
    </w:p>
    <w:p w14:paraId="193A31E1">
      <w:pPr>
        <w:pStyle w:val="3"/>
        <w:keepNext w:val="0"/>
        <w:keepLines w:val="0"/>
        <w:pageBreakBefore w:val="0"/>
        <w:widowControl/>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双镇是公司收入和利润的核心压舱石，但也面临景区固定运营成本较高的资产包袱。其中乌镇景区一季度经营表现优异：一是人次、营业收入、利润均较上年略有增长，清明至五一期间的经营表现预计可以保持和去年相当的水准；二是产品结构持续优化，受免票等政策影响门票收入占比略有下降，但景区整体经营收入仍实现同比增长，其中餐饮和酒店表现亮眼，客房房价、入住率较2025年持续双增长，一季度景区净利润同比增长64%，若剔除房产相关负面影响表现会更好；三是业态持续升级，亲子板块收入和利润贡献突出，同时依托互联网大会、戏剧节两大核心IP，作为具有文化属性和文旅商综合功能的目的地，乌镇的市场影响力稳固，长期持续运营有支撑。古北水镇定位为北京及河北周边近郊旅游度假区，疫情后游客恢复压力较大，公司今年采取多项措施推动经营改善：一是推出持续一个多月的符合条件游客免票优惠政策，直接带动一季度客流量较上年同期增长96%；二是丰富产品内容，取消无人机表演后新增打铁花、非遗类消费及表演项目，二销类产品供给大幅增加；三是大力压降成本、优化人员配置，提升运营效率，最终一季度实现较上年同期减亏。</w:t>
      </w:r>
    </w:p>
    <w:p w14:paraId="689832AB">
      <w:pPr>
        <w:pStyle w:val="3"/>
        <w:pageBreakBefore w:val="0"/>
        <w:widowControl/>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问题二</w:t>
      </w:r>
      <w:r>
        <w:rPr>
          <w:rFonts w:hint="eastAsia" w:ascii="宋体" w:hAnsi="宋体" w:eastAsia="宋体" w:cs="宋体"/>
          <w:b/>
          <w:bCs/>
          <w:color w:val="auto"/>
          <w:sz w:val="24"/>
          <w:szCs w:val="24"/>
          <w:lang w:eastAsia="zh-CN"/>
        </w:rPr>
        <w:t>： 公司房地产业务对乌镇、古北水镇的影响有多大？后续是否有将库存房转为民宿运营、重转轻或发行REITs等消化库存、减轻成本端压力的规划？</w:t>
      </w:r>
    </w:p>
    <w:p w14:paraId="31DCBEE1">
      <w:pPr>
        <w:pStyle w:val="3"/>
        <w:keepNext w:val="0"/>
        <w:keepLines w:val="0"/>
        <w:pageBreakBefore w:val="0"/>
        <w:widowControl/>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房地产业务对乌镇和古北水镇的利润确实存在影响，其中古北水镇的房产库存已基本消化，目前影响不大，乌镇的房地产业务对其整体利润影响较大，2025年年报中公司针对乌镇房产计提了较大金额的减值准备，该计提是出于谨慎经营的考虑，符合会计准则要求。后续公司不排除考虑</w:t>
      </w:r>
      <w:r>
        <w:rPr>
          <w:rFonts w:hint="eastAsia" w:ascii="宋体" w:hAnsi="宋体" w:eastAsia="宋体" w:cs="宋体"/>
          <w:color w:val="auto"/>
          <w:sz w:val="24"/>
          <w:szCs w:val="24"/>
          <w:lang w:val="en-US" w:eastAsia="zh-CN"/>
        </w:rPr>
        <w:t>转民宿等</w:t>
      </w:r>
      <w:r>
        <w:rPr>
          <w:rFonts w:hint="eastAsia" w:ascii="宋体" w:hAnsi="宋体" w:eastAsia="宋体" w:cs="宋体"/>
          <w:color w:val="auto"/>
          <w:sz w:val="24"/>
          <w:szCs w:val="24"/>
          <w:lang w:eastAsia="zh-CN"/>
        </w:rPr>
        <w:t>方式，尽快消化房产库存，推动整体经营业绩向好。</w:t>
      </w:r>
    </w:p>
    <w:p w14:paraId="7C938F8E">
      <w:pPr>
        <w:pStyle w:val="3"/>
        <w:pageBreakBefore w:val="0"/>
        <w:widowControl/>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问题三</w:t>
      </w:r>
      <w:r>
        <w:rPr>
          <w:rFonts w:hint="eastAsia" w:ascii="宋体" w:hAnsi="宋体" w:eastAsia="宋体" w:cs="宋体"/>
          <w:b/>
          <w:bCs/>
          <w:color w:val="auto"/>
          <w:sz w:val="24"/>
          <w:szCs w:val="24"/>
          <w:lang w:eastAsia="zh-CN"/>
        </w:rPr>
        <w:t>： 乌镇和古北水镇后续是否有提升客单价的规划？相关安排是怎样的？</w:t>
      </w:r>
    </w:p>
    <w:p w14:paraId="43F74847">
      <w:pPr>
        <w:pStyle w:val="3"/>
        <w:keepNext w:val="0"/>
        <w:keepLines w:val="0"/>
        <w:pageBreakBefore w:val="0"/>
        <w:widowControl/>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两个景区处于不同发展阶段，客单价走势及相关规划有所不同：乌镇方面，近年客单价略有上升，公司主动推进降低门票在整体收入结构中的占比，提升餐饮、酒店、体验活动等二次消费的占比，目前已经实现客房入住率和房价的双提升，该趋势在2025年全年及2026年一季度均有体现；后续公司将继续通过拓展东栅、西栅外区域，布局乌村等多元业态，依托互联网大会发展会议会展功能，在北栅丝厂、粮仓及南栅落地小吃市集、文化文艺类活动等方式丰富消费场景，长期客单价仍有较大增长空间，景区经营端利润已呈现向好态势。古北水镇方面，受此前暴雨影响活动推进不及预期、近年实施阶段性免票或降价营销政策影响，客单价有下降，当前处于客流培育阶段，重点是依托司马台长城等独特资源吸引更多游客、提升景区认知度，现阶段客单价会出现阶段性回落；待客流回升后，将参照乌镇的运营模式，逐步提升二次消费占比、丰富产品供给，推动客单价逐步提升。</w:t>
      </w:r>
    </w:p>
    <w:p w14:paraId="009C91DB">
      <w:pPr>
        <w:pStyle w:val="3"/>
        <w:pageBreakBefore w:val="0"/>
        <w:widowControl/>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问题四</w:t>
      </w:r>
      <w:r>
        <w:rPr>
          <w:rFonts w:hint="eastAsia" w:ascii="宋体" w:hAnsi="宋体" w:eastAsia="宋体" w:cs="宋体"/>
          <w:b/>
          <w:bCs/>
          <w:color w:val="auto"/>
          <w:sz w:val="24"/>
          <w:szCs w:val="24"/>
          <w:lang w:eastAsia="zh-CN"/>
        </w:rPr>
        <w:t>： 公司2026年一季度会展业务整体表现如何？能否对2026年全年会展业务的发展情况做展望？</w:t>
      </w:r>
    </w:p>
    <w:p w14:paraId="11942BAB">
      <w:pPr>
        <w:pStyle w:val="3"/>
        <w:keepNext w:val="0"/>
        <w:keepLines w:val="0"/>
        <w:pageBreakBefore w:val="0"/>
        <w:widowControl/>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会展业务主体博联一贯保持行业头部地位，2026年一季度会展业务营收较去年同期略有上升。会展业务的利润结算通常不在一季度，利润贡献主要在第二、三季度释放，2026年全年会展业务利润表现值得看好。当前政府及各大企业削减会展预算，政策端对会展业务有较大影响，但博联扛住了压力，2025年承接了多个国际大项目，2026年也持续拓展了政府、大型国企央企的项目，同时还保障了米兰冬奥会赞助商的境外活动营销类项目。整体来看会展业务预计能保持比较稳定的营收和利润，持续巩固行业领头地位。</w:t>
      </w:r>
    </w:p>
    <w:p w14:paraId="7C5BFFEF">
      <w:pPr>
        <w:pStyle w:val="3"/>
        <w:pageBreakBefore w:val="0"/>
        <w:widowControl/>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问题五</w:t>
      </w:r>
      <w:r>
        <w:rPr>
          <w:rFonts w:hint="eastAsia" w:ascii="宋体" w:hAnsi="宋体" w:eastAsia="宋体" w:cs="宋体"/>
          <w:b/>
          <w:bCs/>
          <w:color w:val="auto"/>
          <w:sz w:val="24"/>
          <w:szCs w:val="24"/>
          <w:lang w:eastAsia="zh-CN"/>
        </w:rPr>
        <w:t>： 中东局势对公司旅行社业务有什么影响？公司将如何应对？当前旅行社收入中出境游的占比大概是多少？后续旅行社业务的战略是否会有调整？</w:t>
      </w:r>
    </w:p>
    <w:p w14:paraId="70765DBC">
      <w:pPr>
        <w:pStyle w:val="3"/>
        <w:keepNext w:val="0"/>
        <w:keepLines w:val="0"/>
        <w:pageBreakBefore w:val="0"/>
        <w:widowControl/>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旅行社业务受政策、国际形势影响较大，2026年开局受到多重负面因素冲击：一方面是2025年盈利情况较好的部分签证中心对应国家宣布免签，对业务造成打击，另一方面中东局势复杂、日本游轮相关业务受影响，整体对旅行社业务冲击较大。公司通过拓展其他产品线，包括布局国内游、研学业务等方式补充业务结构，2026年一季度旅行社业务整体保持平稳进展。2025年旅行社板块营收为20亿元，占公司总营收的20%，已经实现一定盈利，盈利的部分来源包括境外签证中心的营收和利润。当前旅行社业务中出境游收入占比</w:t>
      </w:r>
      <w:r>
        <w:rPr>
          <w:rFonts w:hint="eastAsia" w:ascii="宋体" w:hAnsi="宋体" w:eastAsia="宋体" w:cs="宋体"/>
          <w:color w:val="auto"/>
          <w:sz w:val="24"/>
          <w:szCs w:val="24"/>
          <w:lang w:val="en-US" w:eastAsia="zh-CN"/>
        </w:rPr>
        <w:t>仍相对较高</w:t>
      </w:r>
      <w:r>
        <w:rPr>
          <w:rFonts w:hint="eastAsia" w:ascii="宋体" w:hAnsi="宋体" w:eastAsia="宋体" w:cs="宋体"/>
          <w:color w:val="auto"/>
          <w:sz w:val="24"/>
          <w:szCs w:val="24"/>
          <w:lang w:eastAsia="zh-CN"/>
        </w:rPr>
        <w:t>，入境游团队质量较好但规模不大，国内游业务仍在拓展中。后续公司旅行社业务将积极配合国家鼓励入境游和国内游的政策导向，一方面发挥原有出境游优势，持续运营出境游业务，另一方面加大入境游业务拓展，吸引境外游客来华。</w:t>
      </w:r>
    </w:p>
    <w:p w14:paraId="07F6D8BB">
      <w:pPr>
        <w:pStyle w:val="3"/>
        <w:pageBreakBefore w:val="0"/>
        <w:widowControl/>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问题六</w:t>
      </w:r>
      <w:r>
        <w:rPr>
          <w:rFonts w:hint="eastAsia" w:ascii="宋体" w:hAnsi="宋体" w:eastAsia="宋体" w:cs="宋体"/>
          <w:b/>
          <w:bCs/>
          <w:color w:val="auto"/>
          <w:sz w:val="24"/>
          <w:szCs w:val="24"/>
          <w:lang w:eastAsia="zh-CN"/>
        </w:rPr>
        <w:t>： 针对部分地区推行春秋假的政策，公司后续有什么措施承接相关客流？在亲子客群运营方面有什么相关布局？</w:t>
      </w:r>
    </w:p>
    <w:p w14:paraId="23E532E9">
      <w:pPr>
        <w:pStyle w:val="3"/>
        <w:keepNext w:val="0"/>
        <w:keepLines w:val="0"/>
        <w:pageBreakBefore w:val="0"/>
        <w:widowControl/>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针对春假政策公司已经开展了专项调研，春假对乌镇业务有正向促进作用，春假期间乌镇的整体营收、入住率均有正面提升；乌镇旗下的乌村项目通过《向往的生活》节目曝光后，客流、营收均呈现较好的发展态势，可承接亲子类客群需求。古北水镇的客群主要来自北京周边，由于北京目前没有推行春假政策，春假对古北水镇的拉动作用尚不明显，公司也期待相关假期政策的进一步支持。当前游客需求日益多样化，存在小众目的地游览等新趋势，公司未来会重点思考如何吸引这类客流、提供适配服务，覆盖景区、旅行社等各个业务板块。</w:t>
      </w:r>
    </w:p>
    <w:p w14:paraId="2ADED83B">
      <w:pPr>
        <w:pStyle w:val="3"/>
        <w:pageBreakBefore w:val="0"/>
        <w:widowControl/>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问题七</w:t>
      </w:r>
      <w:r>
        <w:rPr>
          <w:rFonts w:hint="eastAsia" w:ascii="宋体" w:hAnsi="宋体" w:eastAsia="宋体" w:cs="宋体"/>
          <w:b/>
          <w:bCs/>
          <w:color w:val="auto"/>
          <w:sz w:val="24"/>
          <w:szCs w:val="24"/>
          <w:lang w:eastAsia="zh-CN"/>
        </w:rPr>
        <w:t>： 光大集团作为公司股东，对中青旅作为旗下文旅上市平台的后续定位有什么安排？在考核机制上是否有相关更新？</w:t>
      </w:r>
    </w:p>
    <w:p w14:paraId="421A2321">
      <w:pPr>
        <w:pStyle w:val="3"/>
        <w:keepNext w:val="0"/>
        <w:keepLines w:val="0"/>
        <w:pageBreakBefore w:val="0"/>
        <w:widowControl/>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光大集团的实业业务布局为“三大一新”路线，中青旅对应的旅游板块是光大集团三大实业板块之一，另外两大实业板块分别为生态环保、养老板块，均属于国计民生重点领域。目前中青旅属于财政部体系内、金融体系下的实业企业考核范畴，考核机制与文旅行业特性存在一定不匹配的情况，但光大集团针对旗下实业企业会结合不同领域特点实行“一司一策”的考核管理方式，整体对公司的发展有较好的支持作用。</w:t>
      </w:r>
    </w:p>
    <w:p w14:paraId="7FC27EB4">
      <w:pPr>
        <w:pStyle w:val="3"/>
        <w:pageBreakBefore w:val="0"/>
        <w:widowControl/>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问题八</w:t>
      </w:r>
      <w:r>
        <w:rPr>
          <w:rFonts w:hint="eastAsia" w:ascii="宋体" w:hAnsi="宋体" w:eastAsia="宋体" w:cs="宋体"/>
          <w:b/>
          <w:bCs/>
          <w:color w:val="auto"/>
          <w:sz w:val="24"/>
          <w:szCs w:val="24"/>
          <w:lang w:eastAsia="zh-CN"/>
        </w:rPr>
        <w:t>： 公司后续的资本开支计划是什么样的？是否有更新改造或者其他投资方面的安排？</w:t>
      </w:r>
    </w:p>
    <w:p w14:paraId="6383B7CC">
      <w:pPr>
        <w:pStyle w:val="3"/>
        <w:keepNext w:val="0"/>
        <w:keepLines w:val="0"/>
        <w:pageBreakBefore w:val="0"/>
        <w:widowControl/>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公司资本开支主要集中在乌镇景区，前一个五年针对互联网大会的配套投入已基本完成，</w:t>
      </w:r>
      <w:r>
        <w:rPr>
          <w:rFonts w:hint="eastAsia" w:ascii="宋体" w:hAnsi="宋体" w:eastAsia="宋体" w:cs="宋体"/>
          <w:color w:val="auto"/>
          <w:sz w:val="24"/>
          <w:szCs w:val="24"/>
          <w:lang w:val="en-US" w:eastAsia="zh-CN"/>
        </w:rPr>
        <w:t>目前没</w:t>
      </w:r>
      <w:r>
        <w:rPr>
          <w:rFonts w:hint="eastAsia" w:ascii="宋体" w:hAnsi="宋体" w:eastAsia="宋体" w:cs="宋体"/>
          <w:color w:val="auto"/>
          <w:sz w:val="24"/>
          <w:szCs w:val="24"/>
          <w:lang w:eastAsia="zh-CN"/>
        </w:rPr>
        <w:t>有单一大项目的新增投入。由于乌镇运营时间较长，景区内外部旧有配套设施需要每年更新改造，每年投入规模不等，该部分属于常规性支出，不属于新增资本开支，过往年度也已有相关体现。</w:t>
      </w:r>
    </w:p>
    <w:p w14:paraId="4F2F096A">
      <w:pPr>
        <w:pStyle w:val="3"/>
        <w:pageBreakBefore w:val="0"/>
        <w:widowControl/>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问题九</w:t>
      </w:r>
      <w:r>
        <w:rPr>
          <w:rFonts w:hint="eastAsia" w:ascii="宋体" w:hAnsi="宋体" w:eastAsia="宋体" w:cs="宋体"/>
          <w:b/>
          <w:bCs/>
          <w:color w:val="auto"/>
          <w:sz w:val="24"/>
          <w:szCs w:val="24"/>
          <w:lang w:eastAsia="zh-CN"/>
        </w:rPr>
        <w:t>： 2026年一季度乌镇利润增速远高于收入增速、古北水镇收入持平但实现减亏的原因是什么，公司在费用端采取了哪些举措？</w:t>
      </w:r>
    </w:p>
    <w:p w14:paraId="31EEB39F">
      <w:pPr>
        <w:pStyle w:val="3"/>
        <w:keepNext w:val="0"/>
        <w:keepLines w:val="0"/>
        <w:pageBreakBefore w:val="0"/>
        <w:widowControl/>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利润改善主要来自收入端和费用端两方面的共同作用：收入端方面，景区内容的价值感和互动感提升带动了入住率和预订热度提升。费用端方面，第一是人工成本优化，公司对固定员工人数进行了一定比例的缩减，旺季或大型活动期间通过灵活用工补充人力，调整员工结构降低了人工成本；第二是乌镇的折旧费用近年来持续降低，折旧作为乌镇成本的重要组成部分，下降明显拉动了利润提升；第三是财务费用优化，乌镇现金流流动性较好，与银行议价能力增强，叠加当前整体资金成本较低，财务费用得到有效控制。</w:t>
      </w:r>
    </w:p>
    <w:sectPr>
      <w:headerReference r:id="rId6" w:type="first"/>
      <w:footerReference r:id="rId9" w:type="first"/>
      <w:headerReference r:id="rId4" w:type="default"/>
      <w:footerReference r:id="rId7" w:type="default"/>
      <w:headerReference r:id="rId5" w:type="even"/>
      <w:footerReference r:id="rId8" w:type="even"/>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7C49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3687">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364E2">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96A45">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3366D">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7AB44">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E2"/>
    <w:rsid w:val="00035C18"/>
    <w:rsid w:val="00203A61"/>
    <w:rsid w:val="002F6894"/>
    <w:rsid w:val="00334011"/>
    <w:rsid w:val="00820185"/>
    <w:rsid w:val="00C2669E"/>
    <w:rsid w:val="00E41EE2"/>
    <w:rsid w:val="0D352C68"/>
    <w:rsid w:val="252215A3"/>
    <w:rsid w:val="2AD87A6E"/>
    <w:rsid w:val="36445BF8"/>
    <w:rsid w:val="47F70466"/>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EastAsia"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4F81BD" w:themeColor="accent1"/>
      <w:sz w:val="32"/>
      <w:szCs w:val="32"/>
      <w14:textFill>
        <w14:solidFill>
          <w14:schemeClr w14:val="accent1"/>
        </w14:solidFill>
      </w14:textFill>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28"/>
      <w:szCs w:val="28"/>
      <w14:textFill>
        <w14:solidFill>
          <w14:schemeClr w14:val="accent1"/>
        </w14:solidFill>
      </w14:textFill>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14:textFill>
        <w14:solidFill>
          <w14:schemeClr w14:val="accent1"/>
        </w14:solidFill>
      </w14:textFill>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14:textFill>
        <w14:solidFill>
          <w14:schemeClr w14:val="accent1"/>
        </w14:solidFill>
      </w14:textFill>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14:textFill>
        <w14:solidFill>
          <w14:schemeClr w14:val="accent1"/>
        </w14:solidFill>
      </w14:textFill>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14:textFill>
        <w14:solidFill>
          <w14:schemeClr w14:val="accent1"/>
        </w14:solidFill>
      </w14:textFill>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14:textFill>
        <w14:solidFill>
          <w14:schemeClr w14:val="accent1"/>
        </w14:solidFill>
      </w14:textFill>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14:textFill>
        <w14:solidFill>
          <w14:schemeClr w14:val="accent1"/>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12">
    <w:name w:val="caption"/>
    <w:basedOn w:val="1"/>
    <w:link w:val="23"/>
    <w:uiPriority w:val="0"/>
    <w:pPr>
      <w:spacing w:after="120"/>
    </w:pPr>
    <w:rPr>
      <w:i/>
    </w:rPr>
  </w:style>
  <w:style w:type="paragraph" w:styleId="13">
    <w:name w:val="Block Text"/>
    <w:basedOn w:val="3"/>
    <w:next w:val="3"/>
    <w:unhideWhenUsed/>
    <w:qFormat/>
    <w:uiPriority w:val="9"/>
    <w:pPr>
      <w:spacing w:before="100" w:after="100"/>
      <w:ind w:left="480" w:right="480"/>
    </w:pPr>
  </w:style>
  <w:style w:type="paragraph" w:styleId="14">
    <w:name w:val="Date"/>
    <w:next w:val="3"/>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styleId="15">
    <w:name w:val="footer"/>
    <w:basedOn w:val="1"/>
    <w:link w:val="73"/>
    <w:uiPriority w:val="0"/>
    <w:pPr>
      <w:tabs>
        <w:tab w:val="center" w:pos="4153"/>
        <w:tab w:val="right" w:pos="8306"/>
      </w:tabs>
      <w:snapToGrid w:val="0"/>
    </w:pPr>
    <w:rPr>
      <w:sz w:val="18"/>
      <w:szCs w:val="18"/>
    </w:rPr>
  </w:style>
  <w:style w:type="paragraph" w:styleId="16">
    <w:name w:val="header"/>
    <w:basedOn w:val="1"/>
    <w:link w:val="72"/>
    <w:uiPriority w:val="0"/>
    <w:pPr>
      <w:tabs>
        <w:tab w:val="center" w:pos="4153"/>
        <w:tab w:val="right" w:pos="8306"/>
      </w:tabs>
      <w:snapToGrid w:val="0"/>
      <w:jc w:val="center"/>
    </w:pPr>
    <w:rPr>
      <w:sz w:val="18"/>
      <w:szCs w:val="18"/>
    </w:rPr>
  </w:style>
  <w:style w:type="paragraph" w:styleId="17">
    <w:name w:val="Subtitle"/>
    <w:basedOn w:val="18"/>
    <w:next w:val="3"/>
    <w:qFormat/>
    <w:uiPriority w:val="0"/>
    <w:pPr>
      <w:spacing w:before="240"/>
    </w:pPr>
    <w:rPr>
      <w:sz w:val="30"/>
      <w:szCs w:val="30"/>
    </w:rPr>
  </w:style>
  <w:style w:type="paragraph" w:styleId="18">
    <w:name w:val="Title"/>
    <w:basedOn w:val="1"/>
    <w:next w:val="3"/>
    <w:qFormat/>
    <w:uiPriority w:val="0"/>
    <w:pPr>
      <w:keepNext/>
      <w:keepLines/>
      <w:spacing w:before="480" w:after="240"/>
      <w:jc w:val="center"/>
    </w:pPr>
    <w:rPr>
      <w:rFonts w:asciiTheme="majorHAnsi" w:hAnsiTheme="majorHAnsi" w:eastAsiaTheme="majorEastAsia" w:cstheme="majorBidi"/>
      <w:b/>
      <w:bCs/>
      <w:color w:val="345B8A" w:themeColor="accent1" w:themeShade="B5"/>
      <w:sz w:val="36"/>
      <w:szCs w:val="36"/>
    </w:rPr>
  </w:style>
  <w:style w:type="paragraph" w:styleId="19">
    <w:name w:val="footnote text"/>
    <w:basedOn w:val="1"/>
    <w:unhideWhenUsed/>
    <w:qFormat/>
    <w:uiPriority w:val="9"/>
  </w:style>
  <w:style w:type="character" w:styleId="22">
    <w:name w:val="Hyperlink"/>
    <w:basedOn w:val="23"/>
    <w:uiPriority w:val="0"/>
    <w:rPr>
      <w:color w:val="4F81BD" w:themeColor="accent1"/>
      <w14:textFill>
        <w14:solidFill>
          <w14:schemeClr w14:val="accent1"/>
        </w14:solidFill>
      </w14:textFill>
    </w:rPr>
  </w:style>
  <w:style w:type="character" w:customStyle="1" w:styleId="23">
    <w:name w:val="题注 字符"/>
    <w:basedOn w:val="21"/>
    <w:link w:val="12"/>
    <w:uiPriority w:val="0"/>
  </w:style>
  <w:style w:type="character" w:styleId="24">
    <w:name w:val="footnote reference"/>
    <w:basedOn w:val="23"/>
    <w:uiPriority w:val="0"/>
    <w:rPr>
      <w:vertAlign w:val="superscript"/>
    </w:rPr>
  </w:style>
  <w:style w:type="paragraph" w:customStyle="1" w:styleId="25">
    <w:name w:val="First Paragraph"/>
    <w:basedOn w:val="3"/>
    <w:next w:val="3"/>
    <w:qFormat/>
    <w:uiPriority w:val="0"/>
  </w:style>
  <w:style w:type="paragraph" w:customStyle="1" w:styleId="26">
    <w:name w:val="Compact"/>
    <w:basedOn w:val="3"/>
    <w:qFormat/>
    <w:uiPriority w:val="0"/>
    <w:pPr>
      <w:spacing w:before="36" w:after="36"/>
    </w:pPr>
  </w:style>
  <w:style w:type="paragraph" w:customStyle="1" w:styleId="27">
    <w:name w:val="Author"/>
    <w:next w:val="3"/>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customStyle="1" w:styleId="28">
    <w:name w:val="Abstract"/>
    <w:basedOn w:val="1"/>
    <w:next w:val="3"/>
    <w:qFormat/>
    <w:uiPriority w:val="0"/>
    <w:pPr>
      <w:keepNext/>
      <w:keepLines/>
      <w:spacing w:before="300" w:after="300"/>
    </w:pPr>
    <w:rPr>
      <w:sz w:val="20"/>
      <w:szCs w:val="20"/>
    </w:rPr>
  </w:style>
  <w:style w:type="paragraph" w:customStyle="1" w:styleId="29">
    <w:name w:val="Bibliography"/>
    <w:basedOn w:val="1"/>
    <w:qFormat/>
    <w:uiPriority w:val="0"/>
  </w:style>
  <w:style w:type="table" w:customStyle="1" w:styleId="30">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31">
    <w:name w:val="Definition Term"/>
    <w:basedOn w:val="1"/>
    <w:next w:val="32"/>
    <w:uiPriority w:val="0"/>
    <w:pPr>
      <w:keepNext/>
      <w:keepLines/>
      <w:spacing w:after="0"/>
    </w:pPr>
    <w:rPr>
      <w:b/>
    </w:rPr>
  </w:style>
  <w:style w:type="paragraph" w:customStyle="1" w:styleId="32">
    <w:name w:val="Definition"/>
    <w:basedOn w:val="1"/>
    <w:uiPriority w:val="0"/>
  </w:style>
  <w:style w:type="paragraph" w:customStyle="1" w:styleId="33">
    <w:name w:val="Table Caption"/>
    <w:basedOn w:val="12"/>
    <w:uiPriority w:val="0"/>
    <w:pPr>
      <w:keepNext/>
    </w:pPr>
  </w:style>
  <w:style w:type="paragraph" w:customStyle="1" w:styleId="34">
    <w:name w:val="Image Caption"/>
    <w:basedOn w:val="12"/>
    <w:uiPriority w:val="0"/>
  </w:style>
  <w:style w:type="paragraph" w:customStyle="1" w:styleId="35">
    <w:name w:val="Figure"/>
    <w:basedOn w:val="1"/>
    <w:uiPriority w:val="0"/>
  </w:style>
  <w:style w:type="paragraph" w:customStyle="1" w:styleId="36">
    <w:name w:val="Captioned Figure"/>
    <w:basedOn w:val="35"/>
    <w:uiPriority w:val="0"/>
    <w:pPr>
      <w:keepNext/>
    </w:pPr>
  </w:style>
  <w:style w:type="character" w:customStyle="1" w:styleId="37">
    <w:name w:val="Verbatim Char"/>
    <w:basedOn w:val="23"/>
    <w:link w:val="38"/>
    <w:uiPriority w:val="0"/>
    <w:rPr>
      <w:rFonts w:ascii="Consolas" w:hAnsi="Consolas"/>
      <w:sz w:val="22"/>
    </w:rPr>
  </w:style>
  <w:style w:type="paragraph" w:customStyle="1" w:styleId="38">
    <w:name w:val="Source Code"/>
    <w:basedOn w:val="1"/>
    <w:link w:val="37"/>
    <w:qFormat/>
    <w:uiPriority w:val="0"/>
    <w:pPr>
      <w:wordWrap w:val="0"/>
    </w:pPr>
  </w:style>
  <w:style w:type="character" w:customStyle="1" w:styleId="39">
    <w:name w:val="Section Number"/>
    <w:basedOn w:val="23"/>
    <w:qFormat/>
    <w:uiPriority w:val="0"/>
  </w:style>
  <w:style w:type="paragraph" w:customStyle="1" w:styleId="40">
    <w:name w:val="TOC Heading"/>
    <w:basedOn w:val="2"/>
    <w:next w:val="3"/>
    <w:unhideWhenUsed/>
    <w:qFormat/>
    <w:uiPriority w:val="39"/>
    <w:pPr>
      <w:spacing w:before="240" w:line="259" w:lineRule="auto"/>
      <w:outlineLvl w:val="9"/>
    </w:pPr>
    <w:rPr>
      <w:b w:val="0"/>
      <w:bCs w:val="0"/>
      <w:color w:val="376092" w:themeColor="accent1" w:themeShade="BF"/>
    </w:rPr>
  </w:style>
  <w:style w:type="character" w:customStyle="1" w:styleId="41">
    <w:name w:val="KeywordTok"/>
    <w:basedOn w:val="37"/>
    <w:qFormat/>
    <w:uiPriority w:val="0"/>
    <w:rPr>
      <w:rFonts w:ascii="Consolas" w:hAnsi="Consolas"/>
      <w:b/>
      <w:color w:val="007020"/>
      <w:sz w:val="22"/>
    </w:rPr>
  </w:style>
  <w:style w:type="character" w:customStyle="1" w:styleId="42">
    <w:name w:val="DataTypeTok"/>
    <w:basedOn w:val="37"/>
    <w:qFormat/>
    <w:uiPriority w:val="0"/>
    <w:rPr>
      <w:rFonts w:ascii="Consolas" w:hAnsi="Consolas"/>
      <w:color w:val="902000"/>
      <w:sz w:val="22"/>
    </w:rPr>
  </w:style>
  <w:style w:type="character" w:customStyle="1" w:styleId="43">
    <w:name w:val="DecValTok"/>
    <w:basedOn w:val="37"/>
    <w:qFormat/>
    <w:uiPriority w:val="0"/>
    <w:rPr>
      <w:rFonts w:ascii="Consolas" w:hAnsi="Consolas"/>
      <w:color w:val="40A070"/>
      <w:sz w:val="22"/>
    </w:rPr>
  </w:style>
  <w:style w:type="character" w:customStyle="1" w:styleId="44">
    <w:name w:val="BaseNTok"/>
    <w:basedOn w:val="37"/>
    <w:qFormat/>
    <w:uiPriority w:val="0"/>
    <w:rPr>
      <w:rFonts w:ascii="Consolas" w:hAnsi="Consolas"/>
      <w:color w:val="40A070"/>
      <w:sz w:val="22"/>
    </w:rPr>
  </w:style>
  <w:style w:type="character" w:customStyle="1" w:styleId="45">
    <w:name w:val="FloatTok"/>
    <w:basedOn w:val="37"/>
    <w:qFormat/>
    <w:uiPriority w:val="0"/>
    <w:rPr>
      <w:rFonts w:ascii="Consolas" w:hAnsi="Consolas"/>
      <w:color w:val="40A070"/>
      <w:sz w:val="22"/>
    </w:rPr>
  </w:style>
  <w:style w:type="character" w:customStyle="1" w:styleId="46">
    <w:name w:val="ConstantTok"/>
    <w:basedOn w:val="37"/>
    <w:qFormat/>
    <w:uiPriority w:val="0"/>
    <w:rPr>
      <w:rFonts w:ascii="Consolas" w:hAnsi="Consolas"/>
      <w:color w:val="880000"/>
      <w:sz w:val="22"/>
    </w:rPr>
  </w:style>
  <w:style w:type="character" w:customStyle="1" w:styleId="47">
    <w:name w:val="CharTok"/>
    <w:basedOn w:val="37"/>
    <w:qFormat/>
    <w:uiPriority w:val="0"/>
    <w:rPr>
      <w:rFonts w:ascii="Consolas" w:hAnsi="Consolas"/>
      <w:color w:val="4070A0"/>
      <w:sz w:val="22"/>
    </w:rPr>
  </w:style>
  <w:style w:type="character" w:customStyle="1" w:styleId="48">
    <w:name w:val="SpecialCharTok"/>
    <w:basedOn w:val="37"/>
    <w:qFormat/>
    <w:uiPriority w:val="0"/>
    <w:rPr>
      <w:rFonts w:ascii="Consolas" w:hAnsi="Consolas"/>
      <w:color w:val="4070A0"/>
      <w:sz w:val="22"/>
    </w:rPr>
  </w:style>
  <w:style w:type="character" w:customStyle="1" w:styleId="49">
    <w:name w:val="StringTok"/>
    <w:basedOn w:val="37"/>
    <w:qFormat/>
    <w:uiPriority w:val="0"/>
    <w:rPr>
      <w:rFonts w:ascii="Consolas" w:hAnsi="Consolas"/>
      <w:color w:val="4070A0"/>
      <w:sz w:val="22"/>
    </w:rPr>
  </w:style>
  <w:style w:type="character" w:customStyle="1" w:styleId="50">
    <w:name w:val="VerbatimStringTok"/>
    <w:basedOn w:val="37"/>
    <w:qFormat/>
    <w:uiPriority w:val="0"/>
    <w:rPr>
      <w:rFonts w:ascii="Consolas" w:hAnsi="Consolas"/>
      <w:color w:val="4070A0"/>
      <w:sz w:val="22"/>
    </w:rPr>
  </w:style>
  <w:style w:type="character" w:customStyle="1" w:styleId="51">
    <w:name w:val="SpecialStringTok"/>
    <w:basedOn w:val="37"/>
    <w:qFormat/>
    <w:uiPriority w:val="0"/>
    <w:rPr>
      <w:rFonts w:ascii="Consolas" w:hAnsi="Consolas"/>
      <w:color w:val="BB6688"/>
      <w:sz w:val="22"/>
    </w:rPr>
  </w:style>
  <w:style w:type="character" w:customStyle="1" w:styleId="52">
    <w:name w:val="ImportTok"/>
    <w:basedOn w:val="37"/>
    <w:qFormat/>
    <w:uiPriority w:val="0"/>
    <w:rPr>
      <w:rFonts w:ascii="Consolas" w:hAnsi="Consolas"/>
      <w:b/>
      <w:color w:val="008000"/>
      <w:sz w:val="22"/>
    </w:rPr>
  </w:style>
  <w:style w:type="character" w:customStyle="1" w:styleId="53">
    <w:name w:val="CommentTok"/>
    <w:basedOn w:val="37"/>
    <w:qFormat/>
    <w:uiPriority w:val="0"/>
    <w:rPr>
      <w:rFonts w:ascii="Consolas" w:hAnsi="Consolas"/>
      <w:i/>
      <w:color w:val="60A0B0"/>
      <w:sz w:val="22"/>
    </w:rPr>
  </w:style>
  <w:style w:type="character" w:customStyle="1" w:styleId="54">
    <w:name w:val="DocumentationTok"/>
    <w:basedOn w:val="37"/>
    <w:qFormat/>
    <w:uiPriority w:val="0"/>
    <w:rPr>
      <w:rFonts w:ascii="Consolas" w:hAnsi="Consolas"/>
      <w:i/>
      <w:color w:val="BA2121"/>
      <w:sz w:val="22"/>
    </w:rPr>
  </w:style>
  <w:style w:type="character" w:customStyle="1" w:styleId="55">
    <w:name w:val="AnnotationTok"/>
    <w:basedOn w:val="37"/>
    <w:qFormat/>
    <w:uiPriority w:val="0"/>
    <w:rPr>
      <w:rFonts w:ascii="Consolas" w:hAnsi="Consolas"/>
      <w:b/>
      <w:i/>
      <w:color w:val="60A0B0"/>
      <w:sz w:val="22"/>
    </w:rPr>
  </w:style>
  <w:style w:type="character" w:customStyle="1" w:styleId="56">
    <w:name w:val="CommentVarTok"/>
    <w:basedOn w:val="37"/>
    <w:qFormat/>
    <w:uiPriority w:val="0"/>
    <w:rPr>
      <w:rFonts w:ascii="Consolas" w:hAnsi="Consolas"/>
      <w:b/>
      <w:i/>
      <w:color w:val="60A0B0"/>
      <w:sz w:val="22"/>
    </w:rPr>
  </w:style>
  <w:style w:type="character" w:customStyle="1" w:styleId="57">
    <w:name w:val="OtherTok"/>
    <w:basedOn w:val="37"/>
    <w:qFormat/>
    <w:uiPriority w:val="0"/>
    <w:rPr>
      <w:rFonts w:ascii="Consolas" w:hAnsi="Consolas"/>
      <w:color w:val="007020"/>
      <w:sz w:val="22"/>
    </w:rPr>
  </w:style>
  <w:style w:type="character" w:customStyle="1" w:styleId="58">
    <w:name w:val="FunctionTok"/>
    <w:basedOn w:val="37"/>
    <w:qFormat/>
    <w:uiPriority w:val="0"/>
    <w:rPr>
      <w:rFonts w:ascii="Consolas" w:hAnsi="Consolas"/>
      <w:color w:val="06287E"/>
      <w:sz w:val="22"/>
    </w:rPr>
  </w:style>
  <w:style w:type="character" w:customStyle="1" w:styleId="59">
    <w:name w:val="VariableTok"/>
    <w:basedOn w:val="37"/>
    <w:qFormat/>
    <w:uiPriority w:val="0"/>
    <w:rPr>
      <w:rFonts w:ascii="Consolas" w:hAnsi="Consolas"/>
      <w:color w:val="19177C"/>
      <w:sz w:val="22"/>
    </w:rPr>
  </w:style>
  <w:style w:type="character" w:customStyle="1" w:styleId="60">
    <w:name w:val="ControlFlowTok"/>
    <w:basedOn w:val="37"/>
    <w:uiPriority w:val="0"/>
    <w:rPr>
      <w:rFonts w:ascii="Consolas" w:hAnsi="Consolas"/>
      <w:b/>
      <w:color w:val="007020"/>
      <w:sz w:val="22"/>
    </w:rPr>
  </w:style>
  <w:style w:type="character" w:customStyle="1" w:styleId="61">
    <w:name w:val="OperatorTok"/>
    <w:basedOn w:val="37"/>
    <w:qFormat/>
    <w:uiPriority w:val="0"/>
    <w:rPr>
      <w:rFonts w:ascii="Consolas" w:hAnsi="Consolas"/>
      <w:color w:val="666666"/>
      <w:sz w:val="22"/>
    </w:rPr>
  </w:style>
  <w:style w:type="character" w:customStyle="1" w:styleId="62">
    <w:name w:val="BuiltInTok"/>
    <w:basedOn w:val="37"/>
    <w:qFormat/>
    <w:uiPriority w:val="0"/>
    <w:rPr>
      <w:rFonts w:ascii="Consolas" w:hAnsi="Consolas"/>
      <w:color w:val="008000"/>
      <w:sz w:val="22"/>
    </w:rPr>
  </w:style>
  <w:style w:type="character" w:customStyle="1" w:styleId="63">
    <w:name w:val="ExtensionTok"/>
    <w:basedOn w:val="37"/>
    <w:qFormat/>
    <w:uiPriority w:val="0"/>
    <w:rPr>
      <w:rFonts w:ascii="Consolas" w:hAnsi="Consolas"/>
      <w:sz w:val="22"/>
    </w:rPr>
  </w:style>
  <w:style w:type="character" w:customStyle="1" w:styleId="64">
    <w:name w:val="PreprocessorTok"/>
    <w:basedOn w:val="37"/>
    <w:qFormat/>
    <w:uiPriority w:val="0"/>
    <w:rPr>
      <w:rFonts w:ascii="Consolas" w:hAnsi="Consolas"/>
      <w:color w:val="BC7A00"/>
      <w:sz w:val="22"/>
    </w:rPr>
  </w:style>
  <w:style w:type="character" w:customStyle="1" w:styleId="65">
    <w:name w:val="AttributeTok"/>
    <w:basedOn w:val="37"/>
    <w:qFormat/>
    <w:uiPriority w:val="0"/>
    <w:rPr>
      <w:rFonts w:ascii="Consolas" w:hAnsi="Consolas"/>
      <w:color w:val="7D9029"/>
      <w:sz w:val="22"/>
    </w:rPr>
  </w:style>
  <w:style w:type="character" w:customStyle="1" w:styleId="66">
    <w:name w:val="RegionMarkerTok"/>
    <w:basedOn w:val="37"/>
    <w:qFormat/>
    <w:uiPriority w:val="0"/>
    <w:rPr>
      <w:rFonts w:ascii="Consolas" w:hAnsi="Consolas"/>
      <w:sz w:val="22"/>
    </w:rPr>
  </w:style>
  <w:style w:type="character" w:customStyle="1" w:styleId="67">
    <w:name w:val="InformationTok"/>
    <w:basedOn w:val="37"/>
    <w:qFormat/>
    <w:uiPriority w:val="0"/>
    <w:rPr>
      <w:rFonts w:ascii="Consolas" w:hAnsi="Consolas"/>
      <w:b/>
      <w:i/>
      <w:color w:val="60A0B0"/>
      <w:sz w:val="22"/>
    </w:rPr>
  </w:style>
  <w:style w:type="character" w:customStyle="1" w:styleId="68">
    <w:name w:val="WarningTok"/>
    <w:basedOn w:val="37"/>
    <w:qFormat/>
    <w:uiPriority w:val="0"/>
    <w:rPr>
      <w:rFonts w:ascii="Consolas" w:hAnsi="Consolas"/>
      <w:b/>
      <w:i/>
      <w:color w:val="60A0B0"/>
      <w:sz w:val="22"/>
    </w:rPr>
  </w:style>
  <w:style w:type="character" w:customStyle="1" w:styleId="69">
    <w:name w:val="AlertTok"/>
    <w:basedOn w:val="37"/>
    <w:qFormat/>
    <w:uiPriority w:val="0"/>
    <w:rPr>
      <w:rFonts w:ascii="Consolas" w:hAnsi="Consolas"/>
      <w:b/>
      <w:color w:val="FF0000"/>
      <w:sz w:val="22"/>
    </w:rPr>
  </w:style>
  <w:style w:type="character" w:customStyle="1" w:styleId="70">
    <w:name w:val="ErrorTok"/>
    <w:basedOn w:val="37"/>
    <w:qFormat/>
    <w:uiPriority w:val="0"/>
    <w:rPr>
      <w:rFonts w:ascii="Consolas" w:hAnsi="Consolas"/>
      <w:b/>
      <w:color w:val="FF0000"/>
      <w:sz w:val="22"/>
    </w:rPr>
  </w:style>
  <w:style w:type="character" w:customStyle="1" w:styleId="71">
    <w:name w:val="NormalTok"/>
    <w:basedOn w:val="37"/>
    <w:qFormat/>
    <w:uiPriority w:val="0"/>
    <w:rPr>
      <w:rFonts w:ascii="Consolas" w:hAnsi="Consolas"/>
      <w:sz w:val="22"/>
    </w:rPr>
  </w:style>
  <w:style w:type="character" w:customStyle="1" w:styleId="72">
    <w:name w:val="页眉 字符"/>
    <w:basedOn w:val="21"/>
    <w:link w:val="16"/>
    <w:qFormat/>
    <w:uiPriority w:val="0"/>
    <w:rPr>
      <w:sz w:val="18"/>
      <w:szCs w:val="18"/>
    </w:rPr>
  </w:style>
  <w:style w:type="character" w:customStyle="1" w:styleId="73">
    <w:name w:val="页脚 字符"/>
    <w:basedOn w:val="21"/>
    <w:link w:val="15"/>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7</Pages>
  <Words>4980</Words>
  <Characters>5150</Characters>
  <Lines>100</Lines>
  <Paragraphs>67</Paragraphs>
  <TotalTime>7</TotalTime>
  <ScaleCrop>false</ScaleCrop>
  <LinksUpToDate>false</LinksUpToDate>
  <CharactersWithSpaces>5175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2026-04-30T06:53:00Z</dcterms:created>
  <dc:creator>李岚</dc:creator>
  <cp:lastModifiedBy>刘奥</cp:lastModifiedBy>
  <dcterms:modified xsi:type="dcterms:W3CDTF">2026-05-15T06:47:46Z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D_Document_Page_Count">
    <vt:lpwstr>6</vt:lpwstr>
  </property>
  <property fmtid="{D5CDD505-2E9C-101B-9397-08002B2CF9AE}" pid="3" name="ZX_Claim_Page_Number">
    <vt:lpwstr>6</vt:lpwstr>
  </property>
  <property fmtid="{D5CDD505-2E9C-101B-9397-08002B2CF9AE}" pid="4" name="KSOTemplateDocerSaveRecord">
    <vt:lpwstr>eyJoZGlkIjoiYjlmYmNiYzkwYTVlOGNmZjM3ODg5ZmQ0NmFlMzRmYmEiLCJ1c2VySWQiOiIxNjg4MTkzNDkzIn0=</vt:lpwstr>
  </property>
  <property fmtid="{D5CDD505-2E9C-101B-9397-08002B2CF9AE}" pid="5" name="KSOProductBuildVer">
    <vt:lpwstr>2052-12.1.0.22529</vt:lpwstr>
  </property>
  <property fmtid="{D5CDD505-2E9C-101B-9397-08002B2CF9AE}" pid="6" name="ICV">
    <vt:lpwstr>7762408201E3443F8B5B029421F7FB5A_12</vt:lpwstr>
  </property>
</Properties>
</file>