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CA6B4" w14:textId="77777777" w:rsidR="007205D4" w:rsidRDefault="00000000">
      <w:pPr>
        <w:pStyle w:val="a9"/>
      </w:pPr>
      <w:r>
        <w:t>证券代码：</w:t>
      </w:r>
      <w:r>
        <w:t xml:space="preserve">603289                                  </w:t>
      </w:r>
      <w:r>
        <w:t>证券简称：</w:t>
      </w:r>
      <w:r>
        <w:t xml:space="preserve"> </w:t>
      </w:r>
      <w:r>
        <w:t>泰瑞机器</w:t>
      </w:r>
    </w:p>
    <w:p w14:paraId="462673B0" w14:textId="77777777" w:rsidR="007205D4" w:rsidRDefault="00000000">
      <w:pPr>
        <w:pStyle w:val="a9"/>
      </w:pPr>
      <w:r>
        <w:rPr>
          <w:rFonts w:hint="eastAsia"/>
        </w:rPr>
        <w:t>债券代码：</w:t>
      </w:r>
      <w:r>
        <w:rPr>
          <w:rFonts w:hint="eastAsia"/>
        </w:rPr>
        <w:t xml:space="preserve">113686                                  </w:t>
      </w:r>
      <w:r>
        <w:rPr>
          <w:rFonts w:hint="eastAsia"/>
        </w:rPr>
        <w:t>债券简称：泰瑞转债</w:t>
      </w:r>
    </w:p>
    <w:p w14:paraId="00042E1F" w14:textId="77777777" w:rsidR="007205D4" w:rsidRPr="009377FE" w:rsidRDefault="00000000" w:rsidP="009377FE">
      <w:pPr>
        <w:pStyle w:val="a9"/>
        <w:jc w:val="center"/>
        <w:rPr>
          <w:b/>
          <w:bCs/>
          <w:sz w:val="32"/>
          <w:szCs w:val="32"/>
        </w:rPr>
      </w:pPr>
      <w:r w:rsidRPr="009377FE">
        <w:rPr>
          <w:b/>
          <w:bCs/>
          <w:sz w:val="32"/>
          <w:szCs w:val="32"/>
        </w:rPr>
        <w:t>泰瑞机器股份有限公司</w:t>
      </w:r>
    </w:p>
    <w:p w14:paraId="3B6A0FDD" w14:textId="77777777" w:rsidR="007205D4" w:rsidRPr="009377FE" w:rsidRDefault="00000000" w:rsidP="009377FE">
      <w:pPr>
        <w:pStyle w:val="a9"/>
        <w:jc w:val="center"/>
        <w:rPr>
          <w:b/>
          <w:bCs/>
          <w:sz w:val="32"/>
          <w:szCs w:val="32"/>
        </w:rPr>
      </w:pPr>
      <w:r w:rsidRPr="009377FE">
        <w:rPr>
          <w:b/>
          <w:bCs/>
          <w:sz w:val="32"/>
          <w:szCs w:val="32"/>
        </w:rPr>
        <w:t>202</w:t>
      </w:r>
      <w:r w:rsidRPr="009377FE">
        <w:rPr>
          <w:rFonts w:hint="eastAsia"/>
          <w:b/>
          <w:bCs/>
          <w:sz w:val="32"/>
          <w:szCs w:val="32"/>
        </w:rPr>
        <w:t>6</w:t>
      </w:r>
      <w:r w:rsidRPr="009377FE">
        <w:rPr>
          <w:b/>
          <w:bCs/>
          <w:sz w:val="32"/>
          <w:szCs w:val="32"/>
        </w:rPr>
        <w:t>年</w:t>
      </w:r>
      <w:r w:rsidRPr="009377FE">
        <w:rPr>
          <w:rFonts w:hint="eastAsia"/>
          <w:b/>
          <w:bCs/>
          <w:sz w:val="32"/>
          <w:szCs w:val="32"/>
        </w:rPr>
        <w:t>5</w:t>
      </w:r>
      <w:r w:rsidRPr="009377FE">
        <w:rPr>
          <w:b/>
          <w:bCs/>
          <w:sz w:val="32"/>
          <w:szCs w:val="32"/>
        </w:rPr>
        <w:t>月</w:t>
      </w:r>
      <w:r w:rsidRPr="009377FE">
        <w:rPr>
          <w:rFonts w:hint="eastAsia"/>
          <w:b/>
          <w:bCs/>
          <w:sz w:val="32"/>
          <w:szCs w:val="32"/>
        </w:rPr>
        <w:t>14</w:t>
      </w:r>
      <w:r w:rsidRPr="009377FE">
        <w:rPr>
          <w:b/>
          <w:bCs/>
          <w:sz w:val="32"/>
          <w:szCs w:val="32"/>
        </w:rPr>
        <w:t>日投资者关系活动记录表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6"/>
        <w:gridCol w:w="6340"/>
      </w:tblGrid>
      <w:tr w:rsidR="007205D4" w14:paraId="596E5905" w14:textId="77777777">
        <w:trPr>
          <w:jc w:val="center"/>
        </w:trPr>
        <w:tc>
          <w:tcPr>
            <w:tcW w:w="1956" w:type="dxa"/>
          </w:tcPr>
          <w:p w14:paraId="6EEF5864" w14:textId="77777777" w:rsidR="007205D4" w:rsidRDefault="00000000">
            <w:pPr>
              <w:pStyle w:val="a9"/>
            </w:pPr>
            <w:r>
              <w:t>投资者关系活动类别</w:t>
            </w:r>
          </w:p>
        </w:tc>
        <w:tc>
          <w:tcPr>
            <w:tcW w:w="6340" w:type="dxa"/>
          </w:tcPr>
          <w:p w14:paraId="6F1EEA7D" w14:textId="77777777" w:rsidR="007205D4" w:rsidRDefault="00000000">
            <w:pPr>
              <w:pStyle w:val="a9"/>
            </w:pPr>
            <w:r>
              <w:rPr>
                <w:rFonts w:ascii="Wingdings 2" w:hAnsi="Wingdings 2"/>
              </w:rPr>
              <w:t>R</w:t>
            </w:r>
            <w:r>
              <w:t>特定对象调研</w:t>
            </w:r>
            <w:r>
              <w:t xml:space="preserve"> </w:t>
            </w:r>
            <w:r>
              <w:rPr>
                <w:rFonts w:hint="eastAsia"/>
              </w:rPr>
              <w:t>□</w:t>
            </w:r>
            <w:r>
              <w:t>分析师会议</w:t>
            </w:r>
          </w:p>
          <w:p w14:paraId="1016A87C" w14:textId="77777777" w:rsidR="007205D4" w:rsidRDefault="00000000">
            <w:pPr>
              <w:pStyle w:val="a9"/>
            </w:pPr>
            <w:r>
              <w:rPr>
                <w:rFonts w:hint="eastAsia"/>
              </w:rPr>
              <w:t>□</w:t>
            </w:r>
            <w:r>
              <w:t>媒体采访</w:t>
            </w:r>
            <w:r>
              <w:t xml:space="preserve">     </w:t>
            </w:r>
            <w:r>
              <w:rPr>
                <w:rFonts w:hint="eastAsia"/>
              </w:rPr>
              <w:t>□</w:t>
            </w:r>
            <w:r>
              <w:t>业绩说明会</w:t>
            </w:r>
          </w:p>
          <w:p w14:paraId="504A6640" w14:textId="77777777" w:rsidR="007205D4" w:rsidRDefault="00000000">
            <w:pPr>
              <w:pStyle w:val="a9"/>
            </w:pPr>
            <w:r>
              <w:rPr>
                <w:rFonts w:hint="eastAsia"/>
              </w:rPr>
              <w:t>□</w:t>
            </w:r>
            <w:r>
              <w:t>新闻发布会</w:t>
            </w:r>
            <w:r>
              <w:t xml:space="preserve">   </w:t>
            </w:r>
            <w:r>
              <w:rPr>
                <w:rFonts w:hint="eastAsia"/>
              </w:rPr>
              <w:t>□</w:t>
            </w:r>
            <w:r>
              <w:t>路演活动</w:t>
            </w:r>
          </w:p>
          <w:p w14:paraId="514190D9" w14:textId="4EAB2411" w:rsidR="007205D4" w:rsidRDefault="00817845">
            <w:pPr>
              <w:pStyle w:val="a9"/>
            </w:pPr>
            <w:r>
              <w:rPr>
                <w:rFonts w:ascii="Wingdings 2" w:hAnsi="Wingdings 2"/>
              </w:rPr>
              <w:t>R</w:t>
            </w:r>
            <w:r w:rsidR="00000000">
              <w:t>现场参观</w:t>
            </w:r>
          </w:p>
          <w:p w14:paraId="5B5EA860" w14:textId="77777777" w:rsidR="007205D4" w:rsidRDefault="00000000">
            <w:pPr>
              <w:pStyle w:val="a9"/>
            </w:pPr>
            <w:r>
              <w:rPr>
                <w:rFonts w:hint="eastAsia"/>
              </w:rPr>
              <w:t>□</w:t>
            </w:r>
            <w:r>
              <w:t>其他</w:t>
            </w:r>
            <w:r>
              <w:t xml:space="preserve"> </w:t>
            </w:r>
          </w:p>
        </w:tc>
      </w:tr>
      <w:tr w:rsidR="007205D4" w14:paraId="43C2EA5F" w14:textId="77777777">
        <w:trPr>
          <w:trHeight w:val="558"/>
          <w:jc w:val="center"/>
        </w:trPr>
        <w:tc>
          <w:tcPr>
            <w:tcW w:w="1956" w:type="dxa"/>
          </w:tcPr>
          <w:p w14:paraId="7959EF1A" w14:textId="77777777" w:rsidR="007205D4" w:rsidRDefault="00000000">
            <w:pPr>
              <w:pStyle w:val="a9"/>
            </w:pPr>
            <w:r>
              <w:t>参与单位名称及人员姓名</w:t>
            </w:r>
          </w:p>
        </w:tc>
        <w:tc>
          <w:tcPr>
            <w:tcW w:w="6340" w:type="dxa"/>
            <w:vAlign w:val="center"/>
          </w:tcPr>
          <w:p w14:paraId="1F817C7D" w14:textId="77777777" w:rsidR="007205D4" w:rsidRDefault="00000000">
            <w:pPr>
              <w:pStyle w:val="a9"/>
            </w:pPr>
            <w:r>
              <w:rPr>
                <w:rFonts w:hint="eastAsia"/>
              </w:rPr>
              <w:t>农银汇理</w:t>
            </w:r>
            <w:r>
              <w:rPr>
                <w:rFonts w:hint="eastAsia"/>
              </w:rPr>
              <w:t xml:space="preserve"> </w:t>
            </w:r>
            <w:r>
              <w:rPr>
                <w:rFonts w:hint="eastAsia"/>
              </w:rPr>
              <w:t>徐乾亮</w:t>
            </w:r>
          </w:p>
          <w:p w14:paraId="4BBE5CD3" w14:textId="77777777" w:rsidR="007205D4" w:rsidRDefault="00000000">
            <w:pPr>
              <w:pStyle w:val="a9"/>
            </w:pPr>
            <w:r>
              <w:t>东证融汇</w:t>
            </w:r>
            <w:r>
              <w:rPr>
                <w:rFonts w:hint="eastAsia"/>
              </w:rPr>
              <w:t xml:space="preserve"> </w:t>
            </w:r>
            <w:r>
              <w:t>李由</w:t>
            </w:r>
          </w:p>
          <w:p w14:paraId="73DF24BE" w14:textId="77777777" w:rsidR="007205D4" w:rsidRDefault="00000000">
            <w:pPr>
              <w:pStyle w:val="a9"/>
            </w:pPr>
            <w:r>
              <w:t>财通证券</w:t>
            </w:r>
            <w:r>
              <w:rPr>
                <w:rFonts w:hint="eastAsia"/>
              </w:rPr>
              <w:t xml:space="preserve"> </w:t>
            </w:r>
            <w:r>
              <w:t>柳婧舒</w:t>
            </w:r>
          </w:p>
          <w:p w14:paraId="0E0FE62C" w14:textId="77777777" w:rsidR="007205D4" w:rsidRDefault="00000000">
            <w:pPr>
              <w:pStyle w:val="a9"/>
            </w:pPr>
            <w:r>
              <w:t>博时基金</w:t>
            </w:r>
            <w:r>
              <w:rPr>
                <w:rFonts w:hint="eastAsia"/>
              </w:rPr>
              <w:t xml:space="preserve"> </w:t>
            </w:r>
            <w:r>
              <w:t>高晖</w:t>
            </w:r>
            <w:r>
              <w:rPr>
                <w:rFonts w:hint="eastAsia"/>
              </w:rPr>
              <w:t>、</w:t>
            </w:r>
            <w:r>
              <w:t>乔奇兵</w:t>
            </w:r>
          </w:p>
          <w:p w14:paraId="06168EB6" w14:textId="77777777" w:rsidR="007205D4" w:rsidRDefault="00000000">
            <w:pPr>
              <w:pStyle w:val="a9"/>
            </w:pPr>
            <w:r>
              <w:t>国联民生</w:t>
            </w:r>
            <w:r>
              <w:rPr>
                <w:rFonts w:hint="eastAsia"/>
              </w:rPr>
              <w:t xml:space="preserve"> </w:t>
            </w:r>
            <w:r>
              <w:t>林浩睿</w:t>
            </w:r>
          </w:p>
          <w:p w14:paraId="22A07205" w14:textId="77777777" w:rsidR="007205D4" w:rsidRDefault="00000000">
            <w:pPr>
              <w:pStyle w:val="a9"/>
            </w:pPr>
            <w:r>
              <w:t>国信证券</w:t>
            </w:r>
            <w:r>
              <w:rPr>
                <w:rFonts w:hint="eastAsia"/>
              </w:rPr>
              <w:t xml:space="preserve"> </w:t>
            </w:r>
            <w:r>
              <w:t>吴越</w:t>
            </w:r>
          </w:p>
          <w:p w14:paraId="12E29CB7" w14:textId="77777777" w:rsidR="007205D4" w:rsidRDefault="00000000">
            <w:pPr>
              <w:pStyle w:val="a9"/>
            </w:pPr>
            <w:r>
              <w:t>华福证券</w:t>
            </w:r>
            <w:r>
              <w:rPr>
                <w:rFonts w:hint="eastAsia"/>
              </w:rPr>
              <w:t xml:space="preserve"> </w:t>
            </w:r>
            <w:r>
              <w:t>张弛</w:t>
            </w:r>
          </w:p>
          <w:p w14:paraId="66348920" w14:textId="77777777" w:rsidR="007205D4" w:rsidRDefault="00000000">
            <w:pPr>
              <w:pStyle w:val="a9"/>
            </w:pPr>
            <w:r>
              <w:rPr>
                <w:rFonts w:hint="eastAsia"/>
              </w:rPr>
              <w:lastRenderedPageBreak/>
              <w:t>新华基金</w:t>
            </w:r>
            <w:r>
              <w:rPr>
                <w:rFonts w:hint="eastAsia"/>
              </w:rPr>
              <w:t xml:space="preserve"> </w:t>
            </w:r>
            <w:r>
              <w:rPr>
                <w:rFonts w:hint="eastAsia"/>
              </w:rPr>
              <w:t>朱旭</w:t>
            </w:r>
          </w:p>
          <w:p w14:paraId="500DFD80" w14:textId="77777777" w:rsidR="007205D4" w:rsidRDefault="00000000">
            <w:pPr>
              <w:pStyle w:val="a9"/>
            </w:pPr>
            <w:r>
              <w:rPr>
                <w:rFonts w:hint="eastAsia"/>
              </w:rPr>
              <w:t>言起投资</w:t>
            </w:r>
            <w:r>
              <w:rPr>
                <w:rFonts w:hint="eastAsia"/>
              </w:rPr>
              <w:t xml:space="preserve"> </w:t>
            </w:r>
            <w:r>
              <w:rPr>
                <w:rFonts w:hint="eastAsia"/>
              </w:rPr>
              <w:t>李铭嘉</w:t>
            </w:r>
          </w:p>
        </w:tc>
      </w:tr>
      <w:tr w:rsidR="007205D4" w14:paraId="4183C771" w14:textId="77777777">
        <w:trPr>
          <w:jc w:val="center"/>
        </w:trPr>
        <w:tc>
          <w:tcPr>
            <w:tcW w:w="1956" w:type="dxa"/>
          </w:tcPr>
          <w:p w14:paraId="27A6144E" w14:textId="77777777" w:rsidR="007205D4" w:rsidRDefault="00000000">
            <w:pPr>
              <w:pStyle w:val="a9"/>
            </w:pPr>
            <w:r>
              <w:lastRenderedPageBreak/>
              <w:t>时间</w:t>
            </w:r>
          </w:p>
        </w:tc>
        <w:tc>
          <w:tcPr>
            <w:tcW w:w="6340" w:type="dxa"/>
          </w:tcPr>
          <w:p w14:paraId="2965CD5A" w14:textId="77777777" w:rsidR="007205D4" w:rsidRDefault="00000000">
            <w:pPr>
              <w:pStyle w:val="a9"/>
            </w:pPr>
            <w:r>
              <w:t>202</w:t>
            </w:r>
            <w:r>
              <w:rPr>
                <w:rFonts w:hint="eastAsia"/>
              </w:rPr>
              <w:t>6</w:t>
            </w:r>
            <w:r>
              <w:t>年</w:t>
            </w:r>
            <w:r>
              <w:rPr>
                <w:rFonts w:hint="eastAsia"/>
              </w:rPr>
              <w:t>5</w:t>
            </w:r>
            <w:r>
              <w:t>月</w:t>
            </w:r>
            <w:r>
              <w:rPr>
                <w:rFonts w:hint="eastAsia"/>
              </w:rPr>
              <w:t>14</w:t>
            </w:r>
            <w:r>
              <w:t>日（星期</w:t>
            </w:r>
            <w:r>
              <w:rPr>
                <w:rFonts w:hint="eastAsia"/>
              </w:rPr>
              <w:t>四</w:t>
            </w:r>
            <w:r>
              <w:t>）</w:t>
            </w:r>
            <w:r>
              <w:t>1</w:t>
            </w:r>
            <w:r>
              <w:rPr>
                <w:rFonts w:hint="eastAsia"/>
              </w:rPr>
              <w:t>3:30</w:t>
            </w:r>
            <w:r>
              <w:t>-1</w:t>
            </w:r>
            <w:r>
              <w:rPr>
                <w:rFonts w:hint="eastAsia"/>
              </w:rPr>
              <w:t>5:3</w:t>
            </w:r>
            <w:r>
              <w:t>0</w:t>
            </w:r>
          </w:p>
        </w:tc>
      </w:tr>
      <w:tr w:rsidR="007205D4" w14:paraId="2D9C7B74" w14:textId="77777777">
        <w:trPr>
          <w:jc w:val="center"/>
        </w:trPr>
        <w:tc>
          <w:tcPr>
            <w:tcW w:w="1956" w:type="dxa"/>
          </w:tcPr>
          <w:p w14:paraId="77871A68" w14:textId="77777777" w:rsidR="007205D4" w:rsidRDefault="00000000">
            <w:pPr>
              <w:pStyle w:val="a9"/>
            </w:pPr>
            <w:r>
              <w:t>地点</w:t>
            </w:r>
          </w:p>
        </w:tc>
        <w:tc>
          <w:tcPr>
            <w:tcW w:w="6340" w:type="dxa"/>
          </w:tcPr>
          <w:p w14:paraId="150CF840" w14:textId="77777777" w:rsidR="007205D4" w:rsidRDefault="00000000">
            <w:pPr>
              <w:pStyle w:val="a9"/>
            </w:pPr>
            <w:r>
              <w:rPr>
                <w:rFonts w:hint="eastAsia"/>
              </w:rPr>
              <w:t>浙江省杭州钱塘区白杨街道银海街</w:t>
            </w:r>
            <w:r>
              <w:rPr>
                <w:rFonts w:hint="eastAsia"/>
              </w:rPr>
              <w:t>417</w:t>
            </w:r>
            <w:r>
              <w:rPr>
                <w:rFonts w:hint="eastAsia"/>
              </w:rPr>
              <w:t>号泰瑞全球总部大楼</w:t>
            </w:r>
          </w:p>
        </w:tc>
      </w:tr>
      <w:tr w:rsidR="007205D4" w14:paraId="17E23254" w14:textId="77777777">
        <w:trPr>
          <w:trHeight w:val="450"/>
          <w:jc w:val="center"/>
        </w:trPr>
        <w:tc>
          <w:tcPr>
            <w:tcW w:w="1956" w:type="dxa"/>
          </w:tcPr>
          <w:p w14:paraId="6738E090" w14:textId="77777777" w:rsidR="007205D4" w:rsidRDefault="00000000">
            <w:pPr>
              <w:pStyle w:val="a9"/>
            </w:pPr>
            <w:r>
              <w:t>上市公司接待人员姓名</w:t>
            </w:r>
          </w:p>
        </w:tc>
        <w:tc>
          <w:tcPr>
            <w:tcW w:w="6340" w:type="dxa"/>
            <w:vAlign w:val="center"/>
          </w:tcPr>
          <w:p w14:paraId="0C0BE2D6" w14:textId="77777777" w:rsidR="007205D4" w:rsidRDefault="00000000">
            <w:pPr>
              <w:pStyle w:val="a9"/>
            </w:pPr>
            <w:r>
              <w:t>董事会秘书：丁宏娇</w:t>
            </w:r>
            <w:r>
              <w:rPr>
                <w:rFonts w:hint="eastAsia"/>
              </w:rPr>
              <w:t>女士</w:t>
            </w:r>
          </w:p>
          <w:p w14:paraId="13FDC263" w14:textId="77777777" w:rsidR="007205D4" w:rsidRDefault="00000000">
            <w:pPr>
              <w:pStyle w:val="a9"/>
            </w:pPr>
            <w:r>
              <w:rPr>
                <w:rFonts w:hint="eastAsia"/>
              </w:rPr>
              <w:t>财务总监：章丽芳女士</w:t>
            </w:r>
          </w:p>
          <w:p w14:paraId="784F5E51" w14:textId="1EA20E5E" w:rsidR="008C49BF" w:rsidRDefault="008C49BF">
            <w:pPr>
              <w:pStyle w:val="a9"/>
              <w:rPr>
                <w:rFonts w:hint="eastAsia"/>
              </w:rPr>
            </w:pPr>
            <w:r>
              <w:rPr>
                <w:rFonts w:hint="eastAsia"/>
              </w:rPr>
              <w:t>证券事务代表：高琪女士</w:t>
            </w:r>
          </w:p>
        </w:tc>
      </w:tr>
      <w:tr w:rsidR="007205D4" w14:paraId="6263C8C2" w14:textId="77777777">
        <w:trPr>
          <w:trHeight w:val="1408"/>
          <w:jc w:val="center"/>
        </w:trPr>
        <w:tc>
          <w:tcPr>
            <w:tcW w:w="1956" w:type="dxa"/>
          </w:tcPr>
          <w:p w14:paraId="5BB17F61" w14:textId="77777777" w:rsidR="007205D4" w:rsidRDefault="00000000">
            <w:pPr>
              <w:pStyle w:val="a9"/>
            </w:pPr>
            <w:r>
              <w:t>投资者关系活动主要内容介绍</w:t>
            </w:r>
          </w:p>
        </w:tc>
        <w:tc>
          <w:tcPr>
            <w:tcW w:w="6340" w:type="dxa"/>
          </w:tcPr>
          <w:p w14:paraId="2322B307" w14:textId="77777777" w:rsidR="007205D4" w:rsidRDefault="00000000">
            <w:pPr>
              <w:pStyle w:val="a9"/>
              <w:rPr>
                <w:b/>
                <w:bCs/>
              </w:rPr>
            </w:pPr>
            <w:r>
              <w:rPr>
                <w:rFonts w:hint="eastAsia"/>
                <w:b/>
                <w:bCs/>
              </w:rPr>
              <w:t>一、介绍公司基本情况</w:t>
            </w:r>
          </w:p>
          <w:p w14:paraId="379443F2" w14:textId="172D3FCD" w:rsidR="007205D4" w:rsidRDefault="00000000">
            <w:pPr>
              <w:pStyle w:val="a9"/>
            </w:pPr>
            <w:r>
              <w:rPr>
                <w:rFonts w:hint="eastAsia"/>
              </w:rPr>
              <w:t>公司董事会秘书</w:t>
            </w:r>
            <w:r w:rsidR="00286C61">
              <w:rPr>
                <w:rFonts w:hint="eastAsia"/>
              </w:rPr>
              <w:t>、</w:t>
            </w:r>
            <w:r>
              <w:t>财务总监</w:t>
            </w:r>
            <w:r w:rsidR="00286C61">
              <w:rPr>
                <w:rFonts w:hint="eastAsia"/>
              </w:rPr>
              <w:t>、证券事务代表</w:t>
            </w:r>
            <w:r>
              <w:t>带</w:t>
            </w:r>
            <w:r>
              <w:rPr>
                <w:rFonts w:hint="eastAsia"/>
              </w:rPr>
              <w:t>领</w:t>
            </w:r>
            <w:r>
              <w:t>与会投资</w:t>
            </w:r>
            <w:r>
              <w:rPr>
                <w:rFonts w:hint="eastAsia"/>
              </w:rPr>
              <w:t>者</w:t>
            </w:r>
            <w:r>
              <w:t>参观公司展厅，介绍了公司使命、价值观、发展历程、业务布局、下游应用场景、专利及获奖情况等</w:t>
            </w:r>
            <w:r>
              <w:rPr>
                <w:rFonts w:hint="eastAsia"/>
              </w:rPr>
              <w:t>。</w:t>
            </w:r>
          </w:p>
          <w:p w14:paraId="3B287A08" w14:textId="77777777" w:rsidR="007205D4" w:rsidRDefault="00000000">
            <w:pPr>
              <w:pStyle w:val="a9"/>
              <w:rPr>
                <w:b/>
                <w:bCs/>
              </w:rPr>
            </w:pPr>
            <w:r>
              <w:rPr>
                <w:rFonts w:hint="eastAsia"/>
                <w:b/>
                <w:bCs/>
              </w:rPr>
              <w:t>二、问答交流环节</w:t>
            </w:r>
          </w:p>
          <w:p w14:paraId="201F1328" w14:textId="77777777" w:rsidR="007205D4" w:rsidRDefault="00000000">
            <w:pPr>
              <w:pStyle w:val="a9"/>
              <w:rPr>
                <w:b/>
                <w:bCs/>
              </w:rPr>
            </w:pPr>
            <w:r>
              <w:rPr>
                <w:b/>
                <w:bCs/>
              </w:rPr>
              <w:t>问题</w:t>
            </w:r>
            <w:r>
              <w:rPr>
                <w:rFonts w:hint="eastAsia"/>
                <w:b/>
                <w:bCs/>
              </w:rPr>
              <w:t>1</w:t>
            </w:r>
            <w:r>
              <w:rPr>
                <w:b/>
                <w:bCs/>
              </w:rPr>
              <w:t>：公司</w:t>
            </w:r>
            <w:r>
              <w:rPr>
                <w:b/>
                <w:bCs/>
              </w:rPr>
              <w:t>2025</w:t>
            </w:r>
            <w:r>
              <w:rPr>
                <w:b/>
                <w:bCs/>
              </w:rPr>
              <w:t>年整体营收、内外销表现如何？</w:t>
            </w:r>
          </w:p>
          <w:p w14:paraId="238E2FF7" w14:textId="77777777" w:rsidR="007205D4" w:rsidRDefault="00000000">
            <w:pPr>
              <w:pStyle w:val="a9"/>
            </w:pPr>
            <w:r>
              <w:rPr>
                <w:rFonts w:hint="eastAsia"/>
              </w:rPr>
              <w:t>答：</w:t>
            </w:r>
            <w:r>
              <w:rPr>
                <w:rFonts w:hint="eastAsia"/>
              </w:rPr>
              <w:t>2025</w:t>
            </w:r>
            <w:r>
              <w:rPr>
                <w:rFonts w:hint="eastAsia"/>
              </w:rPr>
              <w:t>年公司营业收入</w:t>
            </w:r>
            <w:r>
              <w:t>1,206,099,418.5</w:t>
            </w:r>
            <w:r>
              <w:rPr>
                <w:rFonts w:hint="eastAsia"/>
              </w:rPr>
              <w:t>4</w:t>
            </w:r>
            <w:r>
              <w:rPr>
                <w:rFonts w:hint="eastAsia"/>
              </w:rPr>
              <w:t>元，同比增加</w:t>
            </w:r>
            <w:r>
              <w:rPr>
                <w:rFonts w:hint="eastAsia"/>
              </w:rPr>
              <w:t>5.05%</w:t>
            </w:r>
            <w:r>
              <w:rPr>
                <w:rFonts w:hint="eastAsia"/>
              </w:rPr>
              <w:t>，主要原因是</w:t>
            </w:r>
            <w:r>
              <w:t>公司积极布局海外市场，海外业务收入增长所致</w:t>
            </w:r>
            <w:r>
              <w:rPr>
                <w:rFonts w:hint="eastAsia"/>
              </w:rPr>
              <w:t>。其中，</w:t>
            </w:r>
            <w:r>
              <w:t>从内外销来看：内销主营业务收入</w:t>
            </w:r>
            <w:r>
              <w:t>493,115,986.48</w:t>
            </w:r>
            <w:r>
              <w:t>元，同比减少</w:t>
            </w:r>
            <w:r>
              <w:t>21.65%</w:t>
            </w:r>
            <w:r>
              <w:t>；外销主营业务收入</w:t>
            </w:r>
            <w:r>
              <w:t>701,669,231.78</w:t>
            </w:r>
            <w:r>
              <w:t>元，同比增加</w:t>
            </w:r>
            <w:r>
              <w:t>36.31%</w:t>
            </w:r>
            <w:r>
              <w:t>。</w:t>
            </w:r>
            <w:r>
              <w:t xml:space="preserve"> </w:t>
            </w:r>
            <w:r>
              <w:t>内销毛利率</w:t>
            </w:r>
            <w:r>
              <w:t>22.92%</w:t>
            </w:r>
            <w:r>
              <w:t>，</w:t>
            </w:r>
            <w:r>
              <w:lastRenderedPageBreak/>
              <w:t>同比增长</w:t>
            </w:r>
            <w:r>
              <w:t>2.41</w:t>
            </w:r>
            <w:r>
              <w:t>个百分点；外销毛利率</w:t>
            </w:r>
            <w:r>
              <w:t>39.27%</w:t>
            </w:r>
            <w:r>
              <w:rPr>
                <w:rFonts w:hint="eastAsia"/>
              </w:rPr>
              <w:t>，</w:t>
            </w:r>
            <w:r>
              <w:t>同比减少</w:t>
            </w:r>
            <w:r>
              <w:t>1.82</w:t>
            </w:r>
            <w:r>
              <w:t>个百分点。</w:t>
            </w:r>
          </w:p>
          <w:p w14:paraId="307820C4" w14:textId="77777777" w:rsidR="007205D4" w:rsidRDefault="00000000">
            <w:pPr>
              <w:pStyle w:val="a9"/>
              <w:rPr>
                <w:b/>
                <w:bCs/>
              </w:rPr>
            </w:pPr>
            <w:r>
              <w:rPr>
                <w:rFonts w:hint="eastAsia"/>
                <w:b/>
                <w:bCs/>
              </w:rPr>
              <w:t>问题</w:t>
            </w:r>
            <w:r>
              <w:rPr>
                <w:rFonts w:hint="eastAsia"/>
                <w:b/>
                <w:bCs/>
              </w:rPr>
              <w:t>2</w:t>
            </w:r>
            <w:r>
              <w:rPr>
                <w:rFonts w:hint="eastAsia"/>
                <w:b/>
                <w:bCs/>
              </w:rPr>
              <w:t>：</w:t>
            </w:r>
            <w:r>
              <w:rPr>
                <w:b/>
                <w:bCs/>
              </w:rPr>
              <w:t>2025</w:t>
            </w:r>
            <w:r>
              <w:rPr>
                <w:b/>
                <w:bCs/>
              </w:rPr>
              <w:t>年内销营收下滑但毛利率逆势增长，核心原因是什么？后续内销策略是否会调整？</w:t>
            </w:r>
          </w:p>
          <w:p w14:paraId="18F5577E" w14:textId="77777777" w:rsidR="007205D4" w:rsidRDefault="00000000">
            <w:pPr>
              <w:pStyle w:val="a9"/>
            </w:pPr>
            <w:r>
              <w:rPr>
                <w:rFonts w:hint="eastAsia"/>
              </w:rPr>
              <w:t>答：</w:t>
            </w:r>
            <w:r>
              <w:t>国内市场竞争激励，同行普遍卷价格，公司</w:t>
            </w:r>
            <w:r>
              <w:rPr>
                <w:rFonts w:hint="eastAsia"/>
              </w:rPr>
              <w:t>赞</w:t>
            </w:r>
            <w:r>
              <w:t>未跟进价格内卷，优先把产能倾斜至高毛利外销市场，因此出现内销营收下滑、毛利率逆势抬升的情况。公司内销策略在具有较大的选择性：一是保毛利走高质量增长路线；二是适度降价冲规模牺牲部分毛利。</w:t>
            </w:r>
          </w:p>
          <w:p w14:paraId="2B1C8AF2" w14:textId="77777777" w:rsidR="007205D4" w:rsidRDefault="00000000">
            <w:pPr>
              <w:pStyle w:val="a9"/>
              <w:rPr>
                <w:b/>
                <w:bCs/>
              </w:rPr>
            </w:pPr>
            <w:r>
              <w:rPr>
                <w:rFonts w:hint="eastAsia"/>
                <w:b/>
                <w:bCs/>
              </w:rPr>
              <w:t>问题</w:t>
            </w:r>
            <w:r>
              <w:rPr>
                <w:rFonts w:hint="eastAsia"/>
                <w:b/>
                <w:bCs/>
              </w:rPr>
              <w:t>3</w:t>
            </w:r>
            <w:r>
              <w:rPr>
                <w:rFonts w:hint="eastAsia"/>
                <w:b/>
                <w:bCs/>
              </w:rPr>
              <w:t>：</w:t>
            </w:r>
            <w:r>
              <w:rPr>
                <w:b/>
                <w:bCs/>
              </w:rPr>
              <w:t>2025</w:t>
            </w:r>
            <w:r>
              <w:rPr>
                <w:b/>
                <w:bCs/>
              </w:rPr>
              <w:t>年外销收入增长但毛利略有下滑，背后逻辑是什么？</w:t>
            </w:r>
          </w:p>
          <w:p w14:paraId="101367D7" w14:textId="77777777" w:rsidR="007205D4" w:rsidRDefault="00000000">
            <w:pPr>
              <w:pStyle w:val="a9"/>
            </w:pPr>
            <w:r>
              <w:rPr>
                <w:rFonts w:hint="eastAsia"/>
              </w:rPr>
              <w:t>答：</w:t>
            </w:r>
            <w:r>
              <w:t>主要是海外区域结构调整所致。公司</w:t>
            </w:r>
            <w:r>
              <w:t>2025</w:t>
            </w:r>
            <w:r>
              <w:t>年拓展亚洲市场，亚洲部分区域价格内卷毛利率偏低，而欧洲、南美、北美等区域毛利率较高，亚洲市场营收占比有所提升，拉低了外销整体毛利，但外销综合毛利仍显著高于内销。</w:t>
            </w:r>
          </w:p>
          <w:p w14:paraId="20D2D0F4" w14:textId="77777777" w:rsidR="007205D4" w:rsidRDefault="00000000">
            <w:pPr>
              <w:pStyle w:val="a9"/>
              <w:rPr>
                <w:b/>
                <w:bCs/>
              </w:rPr>
            </w:pPr>
            <w:r>
              <w:rPr>
                <w:b/>
                <w:bCs/>
              </w:rPr>
              <w:t>问题</w:t>
            </w:r>
            <w:r>
              <w:rPr>
                <w:rFonts w:hint="eastAsia"/>
                <w:b/>
                <w:bCs/>
              </w:rPr>
              <w:t>4</w:t>
            </w:r>
            <w:r>
              <w:rPr>
                <w:b/>
                <w:bCs/>
              </w:rPr>
              <w:t>：</w:t>
            </w:r>
            <w:r>
              <w:rPr>
                <w:b/>
                <w:bCs/>
              </w:rPr>
              <w:t>2025</w:t>
            </w:r>
            <w:r>
              <w:rPr>
                <w:b/>
                <w:bCs/>
              </w:rPr>
              <w:t>年海外各区域收入占比情况？</w:t>
            </w:r>
          </w:p>
          <w:p w14:paraId="65EAABA5" w14:textId="77777777" w:rsidR="007205D4" w:rsidRDefault="00000000">
            <w:pPr>
              <w:pStyle w:val="a9"/>
            </w:pPr>
            <w:r>
              <w:t>答</w:t>
            </w:r>
            <w:r>
              <w:rPr>
                <w:rFonts w:hint="eastAsia"/>
              </w:rPr>
              <w:t>：</w:t>
            </w:r>
            <w:r>
              <w:rPr>
                <w:rFonts w:hint="eastAsia"/>
              </w:rPr>
              <w:t>2025</w:t>
            </w:r>
            <w:r>
              <w:rPr>
                <w:rFonts w:hint="eastAsia"/>
              </w:rPr>
              <w:t>年欧洲区域销售收入约为</w:t>
            </w:r>
            <w:r>
              <w:t>20</w:t>
            </w:r>
            <w:r>
              <w:rPr>
                <w:rFonts w:hint="eastAsia"/>
              </w:rPr>
              <w:t>,</w:t>
            </w:r>
            <w:r>
              <w:t>815.35</w:t>
            </w:r>
            <w:r>
              <w:rPr>
                <w:rFonts w:hint="eastAsia"/>
              </w:rPr>
              <w:t>万元，占外销收入占比</w:t>
            </w:r>
            <w:r>
              <w:rPr>
                <w:rFonts w:hint="eastAsia"/>
              </w:rPr>
              <w:t>30.80%</w:t>
            </w:r>
            <w:r>
              <w:rPr>
                <w:rFonts w:hint="eastAsia"/>
              </w:rPr>
              <w:t>；亚洲区域销售收入约为</w:t>
            </w:r>
            <w:r>
              <w:t>29</w:t>
            </w:r>
            <w:r>
              <w:rPr>
                <w:rFonts w:hint="eastAsia"/>
              </w:rPr>
              <w:t>,</w:t>
            </w:r>
            <w:r>
              <w:t>789.7</w:t>
            </w:r>
            <w:r>
              <w:rPr>
                <w:rFonts w:hint="eastAsia"/>
              </w:rPr>
              <w:t>0</w:t>
            </w:r>
            <w:r>
              <w:rPr>
                <w:rFonts w:hint="eastAsia"/>
              </w:rPr>
              <w:t>万元，占外销收入占比</w:t>
            </w:r>
            <w:r>
              <w:rPr>
                <w:rFonts w:hint="eastAsia"/>
              </w:rPr>
              <w:t>44.08%</w:t>
            </w:r>
            <w:r>
              <w:rPr>
                <w:rFonts w:hint="eastAsia"/>
              </w:rPr>
              <w:t>；非洲区域销售收入约为</w:t>
            </w:r>
            <w:r>
              <w:t>5</w:t>
            </w:r>
            <w:r>
              <w:rPr>
                <w:rFonts w:hint="eastAsia"/>
              </w:rPr>
              <w:t>,</w:t>
            </w:r>
            <w:r>
              <w:t>656.53</w:t>
            </w:r>
            <w:r>
              <w:rPr>
                <w:rFonts w:hint="eastAsia"/>
              </w:rPr>
              <w:t>万元，占外销收入占比</w:t>
            </w:r>
            <w:r>
              <w:rPr>
                <w:rFonts w:hint="eastAsia"/>
              </w:rPr>
              <w:t>8.37%</w:t>
            </w:r>
            <w:r>
              <w:rPr>
                <w:rFonts w:hint="eastAsia"/>
              </w:rPr>
              <w:t>；北美洲区域销售收入约为</w:t>
            </w:r>
            <w:r>
              <w:t>2</w:t>
            </w:r>
            <w:r>
              <w:rPr>
                <w:rFonts w:hint="eastAsia"/>
              </w:rPr>
              <w:t>,</w:t>
            </w:r>
            <w:r>
              <w:t>954.26</w:t>
            </w:r>
            <w:r>
              <w:rPr>
                <w:rFonts w:hint="eastAsia"/>
              </w:rPr>
              <w:t>万元，占外销收入占比</w:t>
            </w:r>
            <w:r>
              <w:rPr>
                <w:rFonts w:hint="eastAsia"/>
              </w:rPr>
              <w:t>4.37%</w:t>
            </w:r>
            <w:r>
              <w:rPr>
                <w:rFonts w:hint="eastAsia"/>
              </w:rPr>
              <w:t>；南美洲区域销售收入约为</w:t>
            </w:r>
            <w:r>
              <w:t>8</w:t>
            </w:r>
            <w:r>
              <w:rPr>
                <w:rFonts w:hint="eastAsia"/>
              </w:rPr>
              <w:t>,</w:t>
            </w:r>
            <w:r>
              <w:t>202.06</w:t>
            </w:r>
            <w:r>
              <w:rPr>
                <w:rFonts w:hint="eastAsia"/>
              </w:rPr>
              <w:t>万元，占外销收入占比</w:t>
            </w:r>
            <w:r>
              <w:rPr>
                <w:rFonts w:hint="eastAsia"/>
              </w:rPr>
              <w:t>12.14%</w:t>
            </w:r>
            <w:r>
              <w:rPr>
                <w:rFonts w:hint="eastAsia"/>
              </w:rPr>
              <w:t>；大洋洲区域销售收入约为</w:t>
            </w:r>
            <w:r>
              <w:t>157.38</w:t>
            </w:r>
            <w:r>
              <w:rPr>
                <w:rFonts w:hint="eastAsia"/>
              </w:rPr>
              <w:t>万元，占外销收入占比</w:t>
            </w:r>
            <w:r>
              <w:rPr>
                <w:rFonts w:hint="eastAsia"/>
              </w:rPr>
              <w:t>0.23%</w:t>
            </w:r>
            <w:r>
              <w:rPr>
                <w:rFonts w:hint="eastAsia"/>
              </w:rPr>
              <w:t>。</w:t>
            </w:r>
          </w:p>
          <w:p w14:paraId="5BB2FD27" w14:textId="77777777" w:rsidR="007205D4" w:rsidRDefault="00000000">
            <w:pPr>
              <w:pStyle w:val="a9"/>
              <w:rPr>
                <w:b/>
                <w:bCs/>
              </w:rPr>
            </w:pPr>
            <w:r>
              <w:rPr>
                <w:rFonts w:hint="eastAsia"/>
                <w:b/>
                <w:bCs/>
              </w:rPr>
              <w:lastRenderedPageBreak/>
              <w:t>问题</w:t>
            </w:r>
            <w:r>
              <w:rPr>
                <w:rFonts w:hint="eastAsia"/>
                <w:b/>
                <w:bCs/>
              </w:rPr>
              <w:t>5</w:t>
            </w:r>
            <w:r>
              <w:rPr>
                <w:rFonts w:hint="eastAsia"/>
                <w:b/>
                <w:bCs/>
              </w:rPr>
              <w:t>：</w:t>
            </w:r>
            <w:r>
              <w:rPr>
                <w:b/>
                <w:bCs/>
              </w:rPr>
              <w:t>公司不同机型标准交付周期大概多久？定制化订单是否会延长交期？</w:t>
            </w:r>
          </w:p>
          <w:p w14:paraId="1AB51095" w14:textId="77777777" w:rsidR="007205D4" w:rsidRDefault="00000000">
            <w:pPr>
              <w:pStyle w:val="a9"/>
            </w:pPr>
            <w:r>
              <w:rPr>
                <w:rFonts w:hint="eastAsia"/>
              </w:rPr>
              <w:t>答：</w:t>
            </w:r>
            <w:r>
              <w:t>客户从提需求下订到交付，一般情况大机型</w:t>
            </w:r>
            <w:r>
              <w:t>65-90</w:t>
            </w:r>
            <w:r>
              <w:t>天；中机型</w:t>
            </w:r>
            <w:r>
              <w:t>40-60</w:t>
            </w:r>
            <w:r>
              <w:t>天；小机型</w:t>
            </w:r>
            <w:r>
              <w:t>25-35</w:t>
            </w:r>
            <w:r>
              <w:t>天交付。（其中：模力</w:t>
            </w:r>
            <w:r>
              <w:t>&lt;250T</w:t>
            </w:r>
            <w:r>
              <w:t>为小型机，</w:t>
            </w:r>
            <w:r>
              <w:t>250-650T</w:t>
            </w:r>
            <w:r>
              <w:t>为中型机，锁模力</w:t>
            </w:r>
            <w:r>
              <w:t>&gt;650T</w:t>
            </w:r>
            <w:r>
              <w:t>为大型机），针对定制化需求的订单，会在标准的交付周期基础上增加</w:t>
            </w:r>
            <w:r>
              <w:t>10-20</w:t>
            </w:r>
            <w:r>
              <w:t>天不等。相较于以往，我们缩短了制造周期。</w:t>
            </w:r>
          </w:p>
          <w:p w14:paraId="4F010265" w14:textId="77777777" w:rsidR="007205D4" w:rsidRDefault="00000000">
            <w:pPr>
              <w:pStyle w:val="a9"/>
              <w:rPr>
                <w:b/>
                <w:bCs/>
              </w:rPr>
            </w:pPr>
            <w:r>
              <w:rPr>
                <w:rFonts w:hint="eastAsia"/>
                <w:b/>
                <w:bCs/>
              </w:rPr>
              <w:t>问题</w:t>
            </w:r>
            <w:r>
              <w:rPr>
                <w:rFonts w:hint="eastAsia"/>
                <w:b/>
                <w:bCs/>
              </w:rPr>
              <w:t>6</w:t>
            </w:r>
            <w:r>
              <w:rPr>
                <w:rFonts w:hint="eastAsia"/>
                <w:b/>
                <w:bCs/>
              </w:rPr>
              <w:t>：</w:t>
            </w:r>
            <w:r>
              <w:rPr>
                <w:b/>
                <w:bCs/>
              </w:rPr>
              <w:t>公司海外收款账期、风控政策分别是什么？</w:t>
            </w:r>
          </w:p>
          <w:p w14:paraId="4A114691" w14:textId="77777777" w:rsidR="007205D4" w:rsidRDefault="00000000">
            <w:pPr>
              <w:pStyle w:val="a9"/>
            </w:pPr>
            <w:r>
              <w:rPr>
                <w:rFonts w:hint="eastAsia"/>
              </w:rPr>
              <w:t>答：</w:t>
            </w:r>
            <w:r>
              <w:t>海外不同区域不同客户类型账期会有所不同，但海外公司全部投保中信保，给业务回款提供一层担保，整体信用风险也相对较低。公司一直密切监控应收风险，不断完善公司信用风险管理体系，从源头管控、过程监督到结果考核，优化及加强应收的全流程管理，改善应收周转效率与资产质量。目前整体应收账款的周转情况及信用风险均处于可控范围。</w:t>
            </w:r>
          </w:p>
          <w:p w14:paraId="6DB7E608" w14:textId="77777777" w:rsidR="007205D4" w:rsidRDefault="00000000">
            <w:pPr>
              <w:pStyle w:val="a9"/>
              <w:rPr>
                <w:b/>
                <w:bCs/>
              </w:rPr>
            </w:pPr>
            <w:r>
              <w:rPr>
                <w:rFonts w:hint="eastAsia"/>
                <w:b/>
                <w:bCs/>
              </w:rPr>
              <w:t>问题</w:t>
            </w:r>
            <w:r>
              <w:rPr>
                <w:rFonts w:hint="eastAsia"/>
                <w:b/>
                <w:bCs/>
              </w:rPr>
              <w:t>7</w:t>
            </w:r>
            <w:r>
              <w:rPr>
                <w:rFonts w:hint="eastAsia"/>
                <w:b/>
                <w:bCs/>
              </w:rPr>
              <w:t>：</w:t>
            </w:r>
            <w:r>
              <w:rPr>
                <w:b/>
                <w:bCs/>
              </w:rPr>
              <w:t>公司客户拓展模式、直销经销占比及客户集中度如何？</w:t>
            </w:r>
          </w:p>
          <w:p w14:paraId="4B567E2B" w14:textId="77777777" w:rsidR="007205D4" w:rsidRDefault="00000000">
            <w:pPr>
              <w:pStyle w:val="a9"/>
            </w:pPr>
            <w:r>
              <w:rPr>
                <w:rFonts w:hint="eastAsia"/>
              </w:rPr>
              <w:t>答：</w:t>
            </w:r>
            <w:r>
              <w:t>公司每年持续拓展大量新客户，客户结构分散，无单一大客户依赖风险。整体直销占比</w:t>
            </w:r>
            <w:r>
              <w:t>64.7%</w:t>
            </w:r>
            <w:r>
              <w:t>、经销占比</w:t>
            </w:r>
            <w:r>
              <w:t>35.3%</w:t>
            </w:r>
            <w:r>
              <w:t>；海外有分子公司的区域以直销为主，无分支机构区域依托当地代理商经销</w:t>
            </w:r>
            <w:r>
              <w:t>,KA</w:t>
            </w:r>
            <w:r>
              <w:t>客户采用直销模式。</w:t>
            </w:r>
          </w:p>
          <w:p w14:paraId="1670F645" w14:textId="77777777" w:rsidR="007205D4" w:rsidRDefault="00000000">
            <w:pPr>
              <w:pStyle w:val="a9"/>
              <w:rPr>
                <w:b/>
                <w:bCs/>
              </w:rPr>
            </w:pPr>
            <w:r>
              <w:rPr>
                <w:rFonts w:hint="eastAsia"/>
                <w:b/>
                <w:bCs/>
              </w:rPr>
              <w:t>问题</w:t>
            </w:r>
            <w:r>
              <w:rPr>
                <w:rFonts w:hint="eastAsia"/>
                <w:b/>
                <w:bCs/>
              </w:rPr>
              <w:t>8</w:t>
            </w:r>
            <w:r>
              <w:rPr>
                <w:rFonts w:hint="eastAsia"/>
                <w:b/>
                <w:bCs/>
              </w:rPr>
              <w:t>：</w:t>
            </w:r>
            <w:r>
              <w:rPr>
                <w:b/>
                <w:bCs/>
              </w:rPr>
              <w:t>面对同行的价格竞争，公司有哪些举措？</w:t>
            </w:r>
          </w:p>
          <w:p w14:paraId="66EDC30F" w14:textId="77777777" w:rsidR="007205D4" w:rsidRDefault="00000000">
            <w:pPr>
              <w:pStyle w:val="a9"/>
            </w:pPr>
            <w:r>
              <w:rPr>
                <w:rFonts w:hint="eastAsia"/>
              </w:rPr>
              <w:t>答：</w:t>
            </w:r>
            <w:r>
              <w:t>（</w:t>
            </w:r>
            <w:r>
              <w:t>1</w:t>
            </w:r>
            <w:r>
              <w:t>）产品战略：坚持</w:t>
            </w:r>
            <w:r>
              <w:t>“</w:t>
            </w:r>
            <w:r>
              <w:t>产品向上</w:t>
            </w:r>
            <w:r>
              <w:t>”</w:t>
            </w:r>
            <w:r>
              <w:t>，打造更高端、更高效、更智能的产品体系，打造一体化解决方案，不断提高高毛利产品</w:t>
            </w:r>
            <w:r>
              <w:rPr>
                <w:rFonts w:hint="eastAsia"/>
              </w:rPr>
              <w:t>、</w:t>
            </w:r>
            <w:r>
              <w:t>解决方案的销售占比。（</w:t>
            </w:r>
            <w:r>
              <w:t>2</w:t>
            </w:r>
            <w:r>
              <w:t>）技术创新：坚持</w:t>
            </w:r>
            <w:r>
              <w:t>“</w:t>
            </w:r>
            <w:r>
              <w:t>技</w:t>
            </w:r>
            <w:r>
              <w:lastRenderedPageBreak/>
              <w:t>术向上</w:t>
            </w:r>
            <w:r>
              <w:t>”</w:t>
            </w:r>
            <w:r>
              <w:t>，持续突破关键核心技术与行业工艺，以智能化、数字化和高能效技术引领成型装备的发展方向，避免陷入价格战泥潭。（</w:t>
            </w:r>
            <w:r>
              <w:t>3</w:t>
            </w:r>
            <w:r>
              <w:t>）客户结构：坚持</w:t>
            </w:r>
            <w:r>
              <w:t>“</w:t>
            </w:r>
            <w:r>
              <w:t>客户向上</w:t>
            </w:r>
            <w:r>
              <w:t>”</w:t>
            </w:r>
            <w:r>
              <w:t>，面向更高价值的全球核心客户群，提供更专业、更可靠、更具竞争力的整体解决方案，减少对低利润、高风险客户的依赖。（</w:t>
            </w:r>
            <w:r>
              <w:t>4</w:t>
            </w:r>
            <w:r>
              <w:t>）成本管控：推行精益生产与智能制造，优化供应链管理，向内部管理要效益，厚植成本优势。（</w:t>
            </w:r>
            <w:r>
              <w:t>5</w:t>
            </w:r>
            <w:r>
              <w:t>）全球化布局：坚持走全球化发展道路，利用海外市场的价格优势，平衡国内市场的竞争压力。</w:t>
            </w:r>
          </w:p>
          <w:p w14:paraId="76C7C8E2" w14:textId="77777777" w:rsidR="007205D4" w:rsidRDefault="00000000">
            <w:pPr>
              <w:pStyle w:val="a9"/>
              <w:rPr>
                <w:b/>
                <w:bCs/>
              </w:rPr>
            </w:pPr>
            <w:r>
              <w:rPr>
                <w:b/>
                <w:bCs/>
              </w:rPr>
              <w:t>问题</w:t>
            </w:r>
            <w:r>
              <w:rPr>
                <w:rFonts w:hint="eastAsia"/>
                <w:b/>
                <w:bCs/>
              </w:rPr>
              <w:t>9</w:t>
            </w:r>
            <w:r>
              <w:rPr>
                <w:b/>
                <w:bCs/>
              </w:rPr>
              <w:t>：</w:t>
            </w:r>
            <w:r>
              <w:rPr>
                <w:b/>
                <w:bCs/>
              </w:rPr>
              <w:t xml:space="preserve"> 2026</w:t>
            </w:r>
            <w:r>
              <w:rPr>
                <w:b/>
                <w:bCs/>
              </w:rPr>
              <w:t>年海外是否受地缘政治、物流影响？公司如何应对？</w:t>
            </w:r>
          </w:p>
          <w:p w14:paraId="3090F019" w14:textId="77777777" w:rsidR="007205D4" w:rsidRDefault="00000000">
            <w:pPr>
              <w:pStyle w:val="a9"/>
            </w:pPr>
            <w:r>
              <w:rPr>
                <w:rFonts w:hint="eastAsia"/>
              </w:rPr>
              <w:t>答：</w:t>
            </w:r>
            <w:r>
              <w:t>部分区域受地缘政治影响对海运有所影响，公司采取海外标准机型提前备库策略，缩短客户下单到交付、收入确认的周期，对冲海运及地缘带来的交付延迟。</w:t>
            </w:r>
          </w:p>
          <w:p w14:paraId="70186F85" w14:textId="77777777" w:rsidR="007205D4" w:rsidRDefault="00000000">
            <w:pPr>
              <w:pStyle w:val="a9"/>
              <w:rPr>
                <w:b/>
                <w:bCs/>
              </w:rPr>
            </w:pPr>
            <w:r>
              <w:rPr>
                <w:rFonts w:hint="eastAsia"/>
                <w:b/>
                <w:bCs/>
              </w:rPr>
              <w:t>问题</w:t>
            </w:r>
            <w:r>
              <w:rPr>
                <w:rFonts w:hint="eastAsia"/>
                <w:b/>
                <w:bCs/>
              </w:rPr>
              <w:t>10</w:t>
            </w:r>
            <w:r>
              <w:rPr>
                <w:rFonts w:hint="eastAsia"/>
                <w:b/>
                <w:bCs/>
              </w:rPr>
              <w:t>：公司大幅扩产，公司成长潜力逻辑是？</w:t>
            </w:r>
          </w:p>
          <w:p w14:paraId="2C515477" w14:textId="4A0DDCED" w:rsidR="007205D4" w:rsidRDefault="00000000">
            <w:pPr>
              <w:pStyle w:val="a9"/>
              <w:rPr>
                <w:rFonts w:hint="eastAsia"/>
              </w:rPr>
            </w:pPr>
            <w:r>
              <w:rPr>
                <w:rFonts w:hint="eastAsia"/>
              </w:rPr>
              <w:t>（</w:t>
            </w:r>
            <w:r>
              <w:rPr>
                <w:rFonts w:hint="eastAsia"/>
              </w:rPr>
              <w:t>1</w:t>
            </w:r>
            <w:r>
              <w:rPr>
                <w:rFonts w:hint="eastAsia"/>
              </w:rPr>
              <w:t>）注塑机市场空间广阔，据</w:t>
            </w:r>
            <w:r>
              <w:rPr>
                <w:rFonts w:hint="eastAsia"/>
              </w:rPr>
              <w:t>GGI</w:t>
            </w:r>
            <w:r>
              <w:rPr>
                <w:rFonts w:hint="eastAsia"/>
              </w:rPr>
              <w:t>数据显示，</w:t>
            </w:r>
            <w:r>
              <w:rPr>
                <w:rFonts w:hint="eastAsia"/>
              </w:rPr>
              <w:t>2025</w:t>
            </w:r>
            <w:r>
              <w:rPr>
                <w:rFonts w:hint="eastAsia"/>
              </w:rPr>
              <w:t>年全球注塑机市场规模为</w:t>
            </w:r>
            <w:r>
              <w:rPr>
                <w:rFonts w:hint="eastAsia"/>
              </w:rPr>
              <w:t>114.1</w:t>
            </w:r>
            <w:r>
              <w:rPr>
                <w:rFonts w:hint="eastAsia"/>
              </w:rPr>
              <w:t>亿美元，市场空间足够大，公司市占率不足</w:t>
            </w:r>
            <w:r>
              <w:rPr>
                <w:rFonts w:hint="eastAsia"/>
              </w:rPr>
              <w:t>2%</w:t>
            </w:r>
            <w:r>
              <w:rPr>
                <w:rFonts w:hint="eastAsia"/>
              </w:rPr>
              <w:t>，市占率提升潜力大；（</w:t>
            </w:r>
            <w:r>
              <w:rPr>
                <w:rFonts w:hint="eastAsia"/>
              </w:rPr>
              <w:t>2</w:t>
            </w:r>
            <w:r>
              <w:rPr>
                <w:rFonts w:hint="eastAsia"/>
              </w:rPr>
              <w:t>）技术升级带来高端注塑机国产替代进程加快，泰瑞战略定位为国产替代进口高端注塑机，重心抢占欧洲大型机和多物料机的市场及日本电动机市场，高端客户对电动机的节能、高效，对多射机的复杂成型等要求越来越高，泰瑞替代进口的技术逐步已得到头部市场客户的验证，典型客户</w:t>
            </w:r>
            <w:r>
              <w:rPr>
                <w:rFonts w:hint="eastAsia"/>
              </w:rPr>
              <w:t>BYD</w:t>
            </w:r>
            <w:r>
              <w:rPr>
                <w:rFonts w:hint="eastAsia"/>
              </w:rPr>
              <w:t>、宁波华翔等。此外，国内注塑机产品整体成本相对低于国外产品，价格差距将有助于国内产品在国外市场形成优势，并借助这种优势可不断扩大海外市场规模；（</w:t>
            </w:r>
            <w:r>
              <w:rPr>
                <w:rFonts w:hint="eastAsia"/>
              </w:rPr>
              <w:t>3</w:t>
            </w:r>
            <w:r>
              <w:rPr>
                <w:rFonts w:hint="eastAsia"/>
              </w:rPr>
              <w:t>）新能源带来增量机会，产业格局重构，新能源汽车产业的蓬勃发展，公司营收规模有望持续</w:t>
            </w:r>
            <w:r>
              <w:rPr>
                <w:rFonts w:hint="eastAsia"/>
              </w:rPr>
              <w:lastRenderedPageBreak/>
              <w:t>攀升；（</w:t>
            </w:r>
            <w:r>
              <w:rPr>
                <w:rFonts w:hint="eastAsia"/>
              </w:rPr>
              <w:t>4</w:t>
            </w:r>
            <w:r>
              <w:rPr>
                <w:rFonts w:hint="eastAsia"/>
              </w:rPr>
              <w:t>）桐乡超级工厂项目建设的智能化工厂可有效提高注塑机和压铸机产品质量和降低成本；（</w:t>
            </w:r>
            <w:r>
              <w:rPr>
                <w:rFonts w:hint="eastAsia"/>
              </w:rPr>
              <w:t>5</w:t>
            </w:r>
            <w:r>
              <w:rPr>
                <w:rFonts w:hint="eastAsia"/>
              </w:rPr>
              <w:t>）公司持续开展注塑机优势产品的品质升级和技术提升，桐乡超级工厂项目将在</w:t>
            </w:r>
            <w:r>
              <w:rPr>
                <w:rFonts w:hint="eastAsia"/>
              </w:rPr>
              <w:t>NEO</w:t>
            </w:r>
            <w:r>
              <w:rPr>
                <w:rFonts w:hint="eastAsia"/>
              </w:rPr>
              <w:t>系列高端注塑机产品的基础上，不断研发并生产大型、智能、快速、精密、节能注塑机，丰富并优化产品结构，加快产品升级换代；（</w:t>
            </w:r>
            <w:r>
              <w:rPr>
                <w:rFonts w:hint="eastAsia"/>
              </w:rPr>
              <w:t>6</w:t>
            </w:r>
            <w:r>
              <w:rPr>
                <w:rFonts w:hint="eastAsia"/>
              </w:rPr>
              <w:t>）公司建立了覆盖全球核心市场的营销服务网络，未来公司将持续加大全球化布局，泰瑞通过技术、产品、产业链、品牌、营销服务等优势，在全球多元化供应链再造的过程中，会有高速成长的机会。</w:t>
            </w:r>
          </w:p>
        </w:tc>
      </w:tr>
      <w:tr w:rsidR="007205D4" w14:paraId="6D63FD18" w14:textId="77777777">
        <w:trPr>
          <w:jc w:val="center"/>
        </w:trPr>
        <w:tc>
          <w:tcPr>
            <w:tcW w:w="1956" w:type="dxa"/>
          </w:tcPr>
          <w:p w14:paraId="2919AE9E" w14:textId="77777777" w:rsidR="007205D4" w:rsidRDefault="00000000">
            <w:pPr>
              <w:pStyle w:val="a9"/>
            </w:pPr>
            <w:r>
              <w:lastRenderedPageBreak/>
              <w:t>附件清单（如有）</w:t>
            </w:r>
          </w:p>
        </w:tc>
        <w:tc>
          <w:tcPr>
            <w:tcW w:w="6340" w:type="dxa"/>
            <w:vAlign w:val="center"/>
          </w:tcPr>
          <w:p w14:paraId="594CABB4" w14:textId="77777777" w:rsidR="007205D4" w:rsidRDefault="00000000">
            <w:pPr>
              <w:pStyle w:val="a9"/>
            </w:pPr>
            <w:r>
              <w:t>无</w:t>
            </w:r>
          </w:p>
        </w:tc>
      </w:tr>
      <w:tr w:rsidR="007205D4" w14:paraId="573C5C06" w14:textId="77777777">
        <w:trPr>
          <w:jc w:val="center"/>
        </w:trPr>
        <w:tc>
          <w:tcPr>
            <w:tcW w:w="1956" w:type="dxa"/>
          </w:tcPr>
          <w:p w14:paraId="2FF1605B" w14:textId="77777777" w:rsidR="007205D4" w:rsidRDefault="00000000">
            <w:pPr>
              <w:pStyle w:val="a9"/>
            </w:pPr>
            <w:r>
              <w:t>日期</w:t>
            </w:r>
          </w:p>
        </w:tc>
        <w:tc>
          <w:tcPr>
            <w:tcW w:w="6340" w:type="dxa"/>
          </w:tcPr>
          <w:p w14:paraId="5A0A466B" w14:textId="77777777" w:rsidR="007205D4" w:rsidRDefault="00000000">
            <w:pPr>
              <w:pStyle w:val="a9"/>
            </w:pPr>
            <w:r>
              <w:t>202</w:t>
            </w:r>
            <w:r>
              <w:rPr>
                <w:rFonts w:hint="eastAsia"/>
              </w:rPr>
              <w:t>6</w:t>
            </w:r>
            <w:r>
              <w:t>年</w:t>
            </w:r>
            <w:r>
              <w:rPr>
                <w:rFonts w:hint="eastAsia"/>
              </w:rPr>
              <w:t>5</w:t>
            </w:r>
            <w:r>
              <w:t>月</w:t>
            </w:r>
            <w:r>
              <w:rPr>
                <w:rFonts w:hint="eastAsia"/>
              </w:rPr>
              <w:t>14</w:t>
            </w:r>
            <w:r>
              <w:t>日</w:t>
            </w:r>
          </w:p>
        </w:tc>
      </w:tr>
    </w:tbl>
    <w:p w14:paraId="41A33443" w14:textId="77777777" w:rsidR="007205D4" w:rsidRDefault="007205D4"/>
    <w:sectPr w:rsidR="007205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default"/>
    <w:sig w:usb0="E0002EFF" w:usb1="C0007843" w:usb2="00000009" w:usb3="00000000" w:csb0="400001FF" w:csb1="FFFF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jZlNGY3MWQzODczZTg3Mjc1NDNlZjJjNzY3YjIwZDIifQ=="/>
  </w:docVars>
  <w:rsids>
    <w:rsidRoot w:val="00037B6D"/>
    <w:rsid w:val="00022BA5"/>
    <w:rsid w:val="00037B6D"/>
    <w:rsid w:val="0004405D"/>
    <w:rsid w:val="0007040F"/>
    <w:rsid w:val="000B2120"/>
    <w:rsid w:val="000D227A"/>
    <w:rsid w:val="000E783C"/>
    <w:rsid w:val="000F0D91"/>
    <w:rsid w:val="000F4D6A"/>
    <w:rsid w:val="00110226"/>
    <w:rsid w:val="00134AAE"/>
    <w:rsid w:val="00140527"/>
    <w:rsid w:val="00145927"/>
    <w:rsid w:val="00157F90"/>
    <w:rsid w:val="001617F3"/>
    <w:rsid w:val="00165711"/>
    <w:rsid w:val="00173575"/>
    <w:rsid w:val="00181C16"/>
    <w:rsid w:val="0018663C"/>
    <w:rsid w:val="0019624F"/>
    <w:rsid w:val="001B75D5"/>
    <w:rsid w:val="001C3923"/>
    <w:rsid w:val="002141F8"/>
    <w:rsid w:val="002253FB"/>
    <w:rsid w:val="0023337E"/>
    <w:rsid w:val="00255791"/>
    <w:rsid w:val="0028247E"/>
    <w:rsid w:val="002833E2"/>
    <w:rsid w:val="00286C61"/>
    <w:rsid w:val="002C54CE"/>
    <w:rsid w:val="002D70D7"/>
    <w:rsid w:val="002E53DE"/>
    <w:rsid w:val="002F2026"/>
    <w:rsid w:val="003023F8"/>
    <w:rsid w:val="003044CF"/>
    <w:rsid w:val="0032307E"/>
    <w:rsid w:val="00324D61"/>
    <w:rsid w:val="00327960"/>
    <w:rsid w:val="00337E82"/>
    <w:rsid w:val="003545D2"/>
    <w:rsid w:val="0036687D"/>
    <w:rsid w:val="003B2963"/>
    <w:rsid w:val="003C1DB9"/>
    <w:rsid w:val="003C38B0"/>
    <w:rsid w:val="003D2924"/>
    <w:rsid w:val="003E0851"/>
    <w:rsid w:val="003F3809"/>
    <w:rsid w:val="00417276"/>
    <w:rsid w:val="0042715E"/>
    <w:rsid w:val="00450551"/>
    <w:rsid w:val="00466DED"/>
    <w:rsid w:val="004775C2"/>
    <w:rsid w:val="00494BE3"/>
    <w:rsid w:val="004B0BD4"/>
    <w:rsid w:val="004C025B"/>
    <w:rsid w:val="004C0DC4"/>
    <w:rsid w:val="004F04D5"/>
    <w:rsid w:val="00516C49"/>
    <w:rsid w:val="00540946"/>
    <w:rsid w:val="00554559"/>
    <w:rsid w:val="00557CAB"/>
    <w:rsid w:val="00562417"/>
    <w:rsid w:val="00567512"/>
    <w:rsid w:val="00591433"/>
    <w:rsid w:val="005B064F"/>
    <w:rsid w:val="005B3104"/>
    <w:rsid w:val="005C29ED"/>
    <w:rsid w:val="005D4434"/>
    <w:rsid w:val="005F5435"/>
    <w:rsid w:val="00607520"/>
    <w:rsid w:val="00612F48"/>
    <w:rsid w:val="00633B78"/>
    <w:rsid w:val="0068525F"/>
    <w:rsid w:val="0068622B"/>
    <w:rsid w:val="006870A2"/>
    <w:rsid w:val="006908A5"/>
    <w:rsid w:val="006A74E4"/>
    <w:rsid w:val="006F05F8"/>
    <w:rsid w:val="006F2B73"/>
    <w:rsid w:val="00707094"/>
    <w:rsid w:val="007205D4"/>
    <w:rsid w:val="00723257"/>
    <w:rsid w:val="007300F0"/>
    <w:rsid w:val="00730D1A"/>
    <w:rsid w:val="00731EC9"/>
    <w:rsid w:val="00767318"/>
    <w:rsid w:val="0077257F"/>
    <w:rsid w:val="007818E5"/>
    <w:rsid w:val="007821CB"/>
    <w:rsid w:val="00790224"/>
    <w:rsid w:val="007D3048"/>
    <w:rsid w:val="00805419"/>
    <w:rsid w:val="00817845"/>
    <w:rsid w:val="008464CD"/>
    <w:rsid w:val="00851293"/>
    <w:rsid w:val="0085419A"/>
    <w:rsid w:val="00856B7D"/>
    <w:rsid w:val="00860138"/>
    <w:rsid w:val="00884B96"/>
    <w:rsid w:val="00895723"/>
    <w:rsid w:val="008B6578"/>
    <w:rsid w:val="008C49BF"/>
    <w:rsid w:val="008C62C0"/>
    <w:rsid w:val="008D054E"/>
    <w:rsid w:val="008F566E"/>
    <w:rsid w:val="009039B7"/>
    <w:rsid w:val="00907F6B"/>
    <w:rsid w:val="00915EA5"/>
    <w:rsid w:val="009169FE"/>
    <w:rsid w:val="00924682"/>
    <w:rsid w:val="00926DFA"/>
    <w:rsid w:val="009377FE"/>
    <w:rsid w:val="00987105"/>
    <w:rsid w:val="009C2176"/>
    <w:rsid w:val="009C33EF"/>
    <w:rsid w:val="009E1B9D"/>
    <w:rsid w:val="009F1A1E"/>
    <w:rsid w:val="009F32D5"/>
    <w:rsid w:val="00A072DD"/>
    <w:rsid w:val="00A250CF"/>
    <w:rsid w:val="00A33AC0"/>
    <w:rsid w:val="00A37541"/>
    <w:rsid w:val="00A40FA0"/>
    <w:rsid w:val="00A50A09"/>
    <w:rsid w:val="00A80E99"/>
    <w:rsid w:val="00AB18A0"/>
    <w:rsid w:val="00AB1DEB"/>
    <w:rsid w:val="00AC3373"/>
    <w:rsid w:val="00AD56DA"/>
    <w:rsid w:val="00AE0820"/>
    <w:rsid w:val="00AE291A"/>
    <w:rsid w:val="00B06D25"/>
    <w:rsid w:val="00B11BFA"/>
    <w:rsid w:val="00B13F2B"/>
    <w:rsid w:val="00B278F2"/>
    <w:rsid w:val="00B47640"/>
    <w:rsid w:val="00B50CAF"/>
    <w:rsid w:val="00B56F83"/>
    <w:rsid w:val="00B62010"/>
    <w:rsid w:val="00B649DB"/>
    <w:rsid w:val="00B6782B"/>
    <w:rsid w:val="00B74838"/>
    <w:rsid w:val="00BC12CB"/>
    <w:rsid w:val="00BC2743"/>
    <w:rsid w:val="00BD28B4"/>
    <w:rsid w:val="00C04397"/>
    <w:rsid w:val="00C07C09"/>
    <w:rsid w:val="00C10F95"/>
    <w:rsid w:val="00C146C1"/>
    <w:rsid w:val="00C259B7"/>
    <w:rsid w:val="00C418FF"/>
    <w:rsid w:val="00C41DFE"/>
    <w:rsid w:val="00C46971"/>
    <w:rsid w:val="00C50791"/>
    <w:rsid w:val="00C536B7"/>
    <w:rsid w:val="00C55B37"/>
    <w:rsid w:val="00C64D6C"/>
    <w:rsid w:val="00C7298F"/>
    <w:rsid w:val="00C87759"/>
    <w:rsid w:val="00CC0256"/>
    <w:rsid w:val="00CE6459"/>
    <w:rsid w:val="00CE6642"/>
    <w:rsid w:val="00CE6BD6"/>
    <w:rsid w:val="00CF1977"/>
    <w:rsid w:val="00D3318B"/>
    <w:rsid w:val="00D440AD"/>
    <w:rsid w:val="00D464A5"/>
    <w:rsid w:val="00D56FC6"/>
    <w:rsid w:val="00D7688F"/>
    <w:rsid w:val="00D853F7"/>
    <w:rsid w:val="00DB5404"/>
    <w:rsid w:val="00DD3B67"/>
    <w:rsid w:val="00DE5C59"/>
    <w:rsid w:val="00DF1D3F"/>
    <w:rsid w:val="00DF429A"/>
    <w:rsid w:val="00DF63B8"/>
    <w:rsid w:val="00E026E3"/>
    <w:rsid w:val="00E07CFF"/>
    <w:rsid w:val="00E127B2"/>
    <w:rsid w:val="00E135C0"/>
    <w:rsid w:val="00E23641"/>
    <w:rsid w:val="00E55F2A"/>
    <w:rsid w:val="00E928B9"/>
    <w:rsid w:val="00E96C2E"/>
    <w:rsid w:val="00EB5499"/>
    <w:rsid w:val="00EB5C98"/>
    <w:rsid w:val="00EC55FF"/>
    <w:rsid w:val="00ED252E"/>
    <w:rsid w:val="00ED60B2"/>
    <w:rsid w:val="00ED79DC"/>
    <w:rsid w:val="00F12A46"/>
    <w:rsid w:val="00F53D71"/>
    <w:rsid w:val="00F651C1"/>
    <w:rsid w:val="00F67785"/>
    <w:rsid w:val="00F712A1"/>
    <w:rsid w:val="00F730F1"/>
    <w:rsid w:val="00FE65DB"/>
    <w:rsid w:val="00FF228D"/>
    <w:rsid w:val="00FF7266"/>
    <w:rsid w:val="28E74EEE"/>
    <w:rsid w:val="3AED0AB5"/>
    <w:rsid w:val="5B135ED0"/>
    <w:rsid w:val="67FA4B26"/>
    <w:rsid w:val="68FA6C39"/>
    <w:rsid w:val="6D7F17E3"/>
    <w:rsid w:val="792C4A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9AA83"/>
  <w15:docId w15:val="{A9BDCF28-9698-4A20-BC97-E16D2383B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semiHidden/>
    <w:unhideWhenUsed/>
    <w:qFormat/>
    <w:pPr>
      <w:jc w:val="left"/>
    </w:pPr>
  </w:style>
  <w:style w:type="paragraph" w:styleId="a5">
    <w:name w:val="footer"/>
    <w:basedOn w:val="a"/>
    <w:link w:val="a6"/>
    <w:autoRedefine/>
    <w:uiPriority w:val="99"/>
    <w:unhideWhenUsed/>
    <w:qFormat/>
    <w:pPr>
      <w:tabs>
        <w:tab w:val="center" w:pos="4153"/>
        <w:tab w:val="right" w:pos="8306"/>
      </w:tabs>
      <w:snapToGrid w:val="0"/>
      <w:jc w:val="left"/>
    </w:pPr>
    <w:rPr>
      <w:sz w:val="18"/>
      <w:szCs w:val="18"/>
    </w:rPr>
  </w:style>
  <w:style w:type="paragraph" w:styleId="a7">
    <w:name w:val="header"/>
    <w:basedOn w:val="a"/>
    <w:link w:val="a8"/>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autoRedefine/>
    <w:uiPriority w:val="99"/>
    <w:semiHidden/>
    <w:unhideWhenUsed/>
    <w:qFormat/>
    <w:rPr>
      <w:rFonts w:ascii="Courier New" w:hAnsi="Courier New" w:cs="Courier New"/>
      <w:sz w:val="20"/>
      <w:szCs w:val="20"/>
    </w:rPr>
  </w:style>
  <w:style w:type="paragraph" w:styleId="a9">
    <w:name w:val="Normal (Web)"/>
    <w:basedOn w:val="a"/>
    <w:autoRedefine/>
    <w:qFormat/>
    <w:pPr>
      <w:widowControl/>
      <w:adjustRightInd w:val="0"/>
      <w:snapToGrid w:val="0"/>
      <w:spacing w:beforeLines="50" w:before="156" w:after="312" w:line="360" w:lineRule="auto"/>
    </w:pPr>
    <w:rPr>
      <w:color w:val="000000"/>
      <w:kern w:val="0"/>
      <w:sz w:val="24"/>
    </w:rPr>
  </w:style>
  <w:style w:type="paragraph" w:styleId="aa">
    <w:name w:val="annotation subject"/>
    <w:basedOn w:val="a3"/>
    <w:next w:val="a3"/>
    <w:link w:val="ab"/>
    <w:autoRedefine/>
    <w:uiPriority w:val="99"/>
    <w:semiHidden/>
    <w:unhideWhenUsed/>
    <w:qFormat/>
    <w:rPr>
      <w:b/>
      <w:bCs/>
    </w:rPr>
  </w:style>
  <w:style w:type="character" w:styleId="ac">
    <w:name w:val="annotation reference"/>
    <w:basedOn w:val="a0"/>
    <w:autoRedefine/>
    <w:uiPriority w:val="99"/>
    <w:semiHidden/>
    <w:unhideWhenUsed/>
    <w:rPr>
      <w:sz w:val="21"/>
      <w:szCs w:val="21"/>
    </w:rPr>
  </w:style>
  <w:style w:type="character" w:customStyle="1" w:styleId="a8">
    <w:name w:val="页眉 字符"/>
    <w:basedOn w:val="a0"/>
    <w:link w:val="a7"/>
    <w:autoRedefine/>
    <w:uiPriority w:val="99"/>
    <w:qFormat/>
    <w:rPr>
      <w:rFonts w:ascii="Times New Roman" w:eastAsia="宋体" w:hAnsi="Times New Roman" w:cs="Times New Roman"/>
      <w:sz w:val="18"/>
      <w:szCs w:val="18"/>
    </w:rPr>
  </w:style>
  <w:style w:type="character" w:customStyle="1" w:styleId="a6">
    <w:name w:val="页脚 字符"/>
    <w:basedOn w:val="a0"/>
    <w:link w:val="a5"/>
    <w:autoRedefine/>
    <w:uiPriority w:val="99"/>
    <w:qFormat/>
    <w:rPr>
      <w:rFonts w:ascii="Times New Roman" w:eastAsia="宋体" w:hAnsi="Times New Roman" w:cs="Times New Roman"/>
      <w:sz w:val="18"/>
      <w:szCs w:val="18"/>
    </w:rPr>
  </w:style>
  <w:style w:type="character" w:customStyle="1" w:styleId="HTML0">
    <w:name w:val="HTML 预设格式 字符"/>
    <w:basedOn w:val="a0"/>
    <w:link w:val="HTML"/>
    <w:autoRedefine/>
    <w:uiPriority w:val="99"/>
    <w:semiHidden/>
    <w:qFormat/>
    <w:rPr>
      <w:rFonts w:ascii="Courier New" w:eastAsia="宋体" w:hAnsi="Courier New" w:cs="Courier New"/>
      <w:sz w:val="20"/>
      <w:szCs w:val="20"/>
    </w:rPr>
  </w:style>
  <w:style w:type="character" w:customStyle="1" w:styleId="a4">
    <w:name w:val="批注文字 字符"/>
    <w:basedOn w:val="a0"/>
    <w:link w:val="a3"/>
    <w:autoRedefine/>
    <w:uiPriority w:val="99"/>
    <w:semiHidden/>
    <w:qFormat/>
    <w:rPr>
      <w:rFonts w:ascii="Times New Roman" w:eastAsia="宋体" w:hAnsi="Times New Roman" w:cs="Times New Roman"/>
      <w:kern w:val="2"/>
      <w:sz w:val="21"/>
      <w:szCs w:val="24"/>
    </w:rPr>
  </w:style>
  <w:style w:type="character" w:customStyle="1" w:styleId="ab">
    <w:name w:val="批注主题 字符"/>
    <w:basedOn w:val="a4"/>
    <w:link w:val="aa"/>
    <w:autoRedefine/>
    <w:uiPriority w:val="99"/>
    <w:semiHidden/>
    <w:qFormat/>
    <w:rPr>
      <w:rFonts w:ascii="Times New Roman" w:eastAsia="宋体" w:hAnsi="Times New Roman" w:cs="Times New Roman"/>
      <w:b/>
      <w:bCs/>
      <w:kern w:val="2"/>
      <w:sz w:val="21"/>
      <w:szCs w:val="24"/>
    </w:rPr>
  </w:style>
  <w:style w:type="paragraph" w:customStyle="1" w:styleId="1">
    <w:name w:val="修订1"/>
    <w:autoRedefine/>
    <w:hidden/>
    <w:uiPriority w:val="99"/>
    <w:unhideWhenUsed/>
    <w:qFormat/>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7138BF-8961-416D-9918-214159908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417</Words>
  <Characters>2383</Characters>
  <Application>Microsoft Office Word</Application>
  <DocSecurity>0</DocSecurity>
  <Lines>19</Lines>
  <Paragraphs>5</Paragraphs>
  <ScaleCrop>false</ScaleCrop>
  <Company/>
  <LinksUpToDate>false</LinksUpToDate>
  <CharactersWithSpaces>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hh</dc:creator>
  <cp:lastModifiedBy>高琪</cp:lastModifiedBy>
  <cp:revision>214</cp:revision>
  <dcterms:created xsi:type="dcterms:W3CDTF">2023-09-28T08:57:00Z</dcterms:created>
  <dcterms:modified xsi:type="dcterms:W3CDTF">2026-05-14T09:46:00Z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12D72551DD4A4DA5BD58A3BCAE2C4004_13</vt:lpwstr>
  </property>
  <property fmtid="{D5CDD505-2E9C-101B-9397-08002B2CF9AE}" pid="4" name="KSOTemplateDocerSaveRecord">
    <vt:lpwstr>eyJoZGlkIjoiYjk5ODM0YmMxOWJiYWQyNDU4MGIzYWRmYTA0ZmI5NDciLCJ1c2VySWQiOiI0NjI5MDU5NzIifQ==</vt:lpwstr>
  </property>
</Properties>
</file>