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SimHei" w:hAnsi="SimHei" w:eastAsia="SimHei"/>
          <w:sz w:val="24"/>
        </w:rPr>
      </w:pPr>
      <w:r>
        <w:rPr>
          <w:rFonts w:hint="eastAsia" w:ascii="SimHei" w:eastAsia="SimHei"/>
          <w:sz w:val="24"/>
        </w:rPr>
        <w:t>证券代码：</w:t>
      </w:r>
      <w:r>
        <w:rPr>
          <w:rFonts w:hint="eastAsia" w:ascii="SimHei" w:eastAsia="SimHei"/>
          <w:b/>
          <w:sz w:val="24"/>
        </w:rPr>
        <w:t xml:space="preserve">600487                                   </w:t>
      </w:r>
      <w:r>
        <w:rPr>
          <w:rFonts w:hint="eastAsia" w:ascii="SimHei" w:eastAsia="SimHei"/>
          <w:sz w:val="24"/>
        </w:rPr>
        <w:t>证券简称：亨通光电</w:t>
      </w:r>
    </w:p>
    <w:p>
      <w:pPr>
        <w:spacing w:before="156" w:beforeLines="50" w:line="360" w:lineRule="auto"/>
        <w:jc w:val="center"/>
        <w:rPr>
          <w:rFonts w:hint="eastAsia" w:ascii="_x000B__x000C_" w:hAnsi="_x000B__x000C_" w:eastAsia="SimHei" w:cs="Times New Roman"/>
          <w:color w:val="FF0000"/>
          <w:sz w:val="36"/>
          <w:szCs w:val="36"/>
        </w:rPr>
      </w:pPr>
      <w:r>
        <w:rPr>
          <w:rFonts w:hint="eastAsia" w:ascii="_x000B__x000C_" w:hAnsi="_x000B__x000C_" w:eastAsia="SimHei" w:cs="Times New Roman"/>
          <w:color w:val="FF0000"/>
          <w:sz w:val="36"/>
          <w:szCs w:val="36"/>
        </w:rPr>
        <w:t>江苏亨通光电股份有限公司</w:t>
      </w:r>
    </w:p>
    <w:p>
      <w:pPr>
        <w:spacing w:after="156" w:afterLines="50" w:line="360" w:lineRule="auto"/>
        <w:jc w:val="center"/>
        <w:rPr>
          <w:rFonts w:ascii="Times New Roman" w:hAnsi="Times New Roman" w:eastAsia="SimSun" w:cs="Times New Roman"/>
          <w:color w:val="000000"/>
          <w:kern w:val="0"/>
          <w:sz w:val="24"/>
          <w:szCs w:val="24"/>
        </w:rPr>
      </w:pPr>
      <w:r>
        <w:rPr>
          <w:rFonts w:hint="eastAsia" w:ascii="_x000B__x000C_" w:hAnsi="_x000B__x000C_" w:eastAsia="SimHei" w:cs="Times New Roman"/>
          <w:color w:val="FF0000"/>
          <w:sz w:val="36"/>
          <w:szCs w:val="36"/>
        </w:rPr>
        <w:t>投资者关系活动会议纪要</w:t>
      </w:r>
    </w:p>
    <w:p>
      <w:pPr>
        <w:spacing w:before="156" w:beforeLines="50" w:after="156" w:afterLines="50" w:line="360" w:lineRule="auto"/>
        <w:ind w:firstLine="480" w:firstLineChars="200"/>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江苏亨通光电股份有限公司（以下简称“公司”）近期通过组织线上线下交流会、说明会、参加券商策略会等形式接待了机构调研，开展了投资者交流，主要情况如下：</w:t>
      </w:r>
    </w:p>
    <w:p>
      <w:pPr>
        <w:tabs>
          <w:tab w:val="left" w:pos="4980"/>
        </w:tabs>
        <w:spacing w:before="156" w:beforeLines="50" w:after="156" w:afterLines="50" w:line="360" w:lineRule="auto"/>
        <w:ind w:firstLine="482" w:firstLineChars="20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一、会议基本情况</w:t>
      </w:r>
      <w:r>
        <w:rPr>
          <w:rFonts w:ascii="Times New Roman" w:hAnsi="Times New Roman" w:eastAsia="SimSun" w:cs="Times New Roman"/>
          <w:b/>
          <w:bCs/>
          <w:color w:val="000000"/>
          <w:kern w:val="0"/>
          <w:sz w:val="24"/>
          <w:szCs w:val="24"/>
        </w:rPr>
        <w:tab/>
      </w:r>
    </w:p>
    <w:p>
      <w:pPr>
        <w:spacing w:before="156" w:beforeLines="50" w:after="156" w:afterLines="50" w:line="360" w:lineRule="auto"/>
        <w:ind w:firstLine="480" w:firstLineChars="200"/>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1、会议形式：线上及线下交流会、说明会、策略会</w:t>
      </w:r>
    </w:p>
    <w:p>
      <w:pPr>
        <w:spacing w:before="156" w:beforeLines="50" w:after="156" w:afterLines="50" w:line="360" w:lineRule="auto"/>
        <w:ind w:firstLine="480" w:firstLineChars="200"/>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2、主要参会人员：</w:t>
      </w:r>
    </w:p>
    <w:p>
      <w:pPr>
        <w:spacing w:before="156" w:beforeLines="50" w:after="156" w:afterLines="50" w:line="360" w:lineRule="auto"/>
        <w:ind w:firstLine="480" w:firstLineChars="200"/>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公司参会：董事兼总裁张建峰、副总裁兼董事会秘书王僚俊、财务总监吴燕、合规总监兼董事会办公室主任顾怡倩、财务副总监王金猛、董事会办公室王志超</w:t>
      </w:r>
    </w:p>
    <w:p>
      <w:pPr>
        <w:spacing w:before="156" w:beforeLines="50" w:after="156" w:afterLines="50" w:line="360" w:lineRule="auto"/>
        <w:ind w:firstLine="480" w:firstLineChars="200"/>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机构参会：天风证券、中金公司、华泰证券、国泰海通证券、东吴证券、国盛证券、中信建投证券、中信证券、广发证券、招商证券、长江证券、国金证券、</w:t>
      </w:r>
      <w:bookmarkStart w:id="0" w:name="_GoBack"/>
      <w:bookmarkEnd w:id="0"/>
      <w:r>
        <w:rPr>
          <w:rFonts w:hint="eastAsia" w:ascii="Times New Roman" w:hAnsi="Times New Roman" w:eastAsia="SimSun" w:cs="Times New Roman"/>
          <w:color w:val="000000"/>
          <w:kern w:val="0"/>
          <w:sz w:val="24"/>
          <w:szCs w:val="24"/>
        </w:rPr>
        <w:t>华创证券、国联民生证券、西部证券、财通证券、东兴证券、富国基金、广发基金、易方达、华安基金、平安养老、摩根士丹利、东方红、太平养老、博时基金、南方基金、建信基金、嘉实基金、鹏华基金</w:t>
      </w:r>
      <w:r>
        <w:rPr>
          <w:rFonts w:hint="eastAsia" w:ascii="Times New Roman" w:hAnsi="Times New Roman" w:eastAsia="SimSun" w:cs="Times New Roman"/>
          <w:color w:val="000000"/>
          <w:sz w:val="24"/>
          <w:szCs w:val="24"/>
        </w:rPr>
        <w:t>等280余</w:t>
      </w:r>
      <w:r>
        <w:rPr>
          <w:rFonts w:hint="eastAsia" w:ascii="Times New Roman" w:hAnsi="Times New Roman" w:eastAsia="SimSun" w:cs="Times New Roman"/>
          <w:sz w:val="24"/>
          <w:szCs w:val="24"/>
        </w:rPr>
        <w:t>家机构。接待机构及个人投资者约1,000</w:t>
      </w:r>
      <w:r>
        <w:rPr>
          <w:rFonts w:hint="eastAsia" w:ascii="Times New Roman" w:hAnsi="Times New Roman" w:eastAsia="SimSun" w:cs="Times New Roman"/>
          <w:color w:val="000000"/>
          <w:sz w:val="24"/>
          <w:szCs w:val="24"/>
        </w:rPr>
        <w:t>人次。</w:t>
      </w:r>
    </w:p>
    <w:p>
      <w:pPr>
        <w:numPr>
          <w:ilvl w:val="0"/>
          <w:numId w:val="1"/>
        </w:numPr>
        <w:spacing w:before="156" w:beforeLines="50" w:after="156" w:afterLines="50" w:line="360" w:lineRule="auto"/>
        <w:ind w:firstLine="482" w:firstLineChars="20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会议交流主要内容</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问题：请介绍公司一季度经营情况。</w:t>
      </w:r>
    </w:p>
    <w:p>
      <w:pPr>
        <w:spacing w:before="156" w:beforeLines="50" w:after="156" w:afterLines="50" w:line="360" w:lineRule="auto"/>
        <w:ind w:firstLine="480"/>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答：2026年一季度，</w:t>
      </w:r>
      <w:r>
        <w:rPr>
          <w:rFonts w:ascii="SimSun" w:hAnsi="SimSun" w:eastAsia="SimSun" w:cs="SimSun"/>
          <w:sz w:val="24"/>
          <w:szCs w:val="24"/>
        </w:rPr>
        <w:t>公司实现营业收入</w:t>
      </w:r>
      <w:r>
        <w:rPr>
          <w:rFonts w:hint="eastAsia" w:ascii="SimSun" w:hAnsi="SimSun" w:eastAsia="SimSun" w:cs="SimSun"/>
          <w:sz w:val="24"/>
          <w:szCs w:val="24"/>
        </w:rPr>
        <w:t>177.91</w:t>
      </w:r>
      <w:r>
        <w:rPr>
          <w:rFonts w:ascii="SimSun" w:hAnsi="SimSun" w:eastAsia="SimSun" w:cs="SimSun"/>
          <w:sz w:val="24"/>
          <w:szCs w:val="24"/>
        </w:rPr>
        <w:t>亿元，同比增长</w:t>
      </w:r>
      <w:r>
        <w:rPr>
          <w:rFonts w:hint="eastAsia" w:ascii="SimSun" w:hAnsi="SimSun" w:eastAsia="SimSun" w:cs="SimSun"/>
          <w:sz w:val="24"/>
          <w:szCs w:val="24"/>
        </w:rPr>
        <w:t>34.09</w:t>
      </w:r>
      <w:r>
        <w:rPr>
          <w:rFonts w:ascii="SimSun" w:hAnsi="SimSun" w:eastAsia="SimSun" w:cs="SimSun"/>
          <w:sz w:val="24"/>
          <w:szCs w:val="24"/>
        </w:rPr>
        <w:t>%；实现归属于上市公司股东的净利润</w:t>
      </w:r>
      <w:r>
        <w:rPr>
          <w:rFonts w:hint="eastAsia" w:ascii="SimSun" w:hAnsi="SimSun" w:eastAsia="SimSun" w:cs="SimSun"/>
          <w:sz w:val="24"/>
          <w:szCs w:val="24"/>
        </w:rPr>
        <w:t>11</w:t>
      </w:r>
      <w:r>
        <w:rPr>
          <w:rFonts w:ascii="SimSun" w:hAnsi="SimSun" w:eastAsia="SimSun" w:cs="SimSun"/>
          <w:sz w:val="24"/>
          <w:szCs w:val="24"/>
        </w:rPr>
        <w:t>.</w:t>
      </w:r>
      <w:r>
        <w:rPr>
          <w:rFonts w:hint="eastAsia" w:ascii="SimSun" w:hAnsi="SimSun" w:eastAsia="SimSun" w:cs="SimSun"/>
          <w:sz w:val="24"/>
          <w:szCs w:val="24"/>
        </w:rPr>
        <w:t>05</w:t>
      </w:r>
      <w:r>
        <w:rPr>
          <w:rFonts w:ascii="SimSun" w:hAnsi="SimSun" w:eastAsia="SimSun" w:cs="SimSun"/>
          <w:sz w:val="24"/>
          <w:szCs w:val="24"/>
        </w:rPr>
        <w:t>亿元，同比</w:t>
      </w:r>
      <w:r>
        <w:rPr>
          <w:rFonts w:hint="eastAsia" w:ascii="SimSun" w:hAnsi="SimSun" w:eastAsia="SimSun" w:cs="SimSun"/>
          <w:sz w:val="24"/>
          <w:szCs w:val="24"/>
        </w:rPr>
        <w:t>增长98.53</w:t>
      </w:r>
      <w:r>
        <w:rPr>
          <w:rFonts w:ascii="SimSun" w:hAnsi="SimSun" w:eastAsia="SimSun" w:cs="SimSun"/>
          <w:sz w:val="24"/>
          <w:szCs w:val="24"/>
        </w:rPr>
        <w:t>%；实现归属于上市公司股东的扣除非经常性损益的净利润</w:t>
      </w:r>
      <w:r>
        <w:rPr>
          <w:rFonts w:hint="eastAsia" w:ascii="SimSun" w:hAnsi="SimSun" w:eastAsia="SimSun" w:cs="SimSun"/>
          <w:sz w:val="24"/>
          <w:szCs w:val="24"/>
        </w:rPr>
        <w:t>11.33</w:t>
      </w:r>
      <w:r>
        <w:rPr>
          <w:rFonts w:ascii="SimSun" w:hAnsi="SimSun" w:eastAsia="SimSun" w:cs="SimSun"/>
          <w:sz w:val="24"/>
          <w:szCs w:val="24"/>
        </w:rPr>
        <w:t>亿元，同比</w:t>
      </w:r>
      <w:r>
        <w:rPr>
          <w:rFonts w:hint="eastAsia" w:ascii="SimSun" w:hAnsi="SimSun" w:eastAsia="SimSun" w:cs="SimSun"/>
          <w:sz w:val="24"/>
          <w:szCs w:val="24"/>
        </w:rPr>
        <w:t>增长107.68</w:t>
      </w:r>
      <w:r>
        <w:rPr>
          <w:rFonts w:ascii="SimSun" w:hAnsi="SimSun" w:eastAsia="SimSun" w:cs="SimSun"/>
          <w:sz w:val="24"/>
          <w:szCs w:val="24"/>
        </w:rPr>
        <w:t>%，主要系报告期内光通信市场需求增长、价格上涨，海洋通信及能源产品交付增加和海外市场需求增长所致。</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问题：公司在AI数据中心业务方面最新突破。</w:t>
      </w:r>
    </w:p>
    <w:p>
      <w:pPr>
        <w:spacing w:before="156" w:beforeLines="50" w:after="156" w:afterLines="50" w:line="360" w:lineRule="auto"/>
        <w:ind w:firstLine="480" w:firstLineChars="200"/>
        <w:rPr>
          <w:rFonts w:hint="eastAsia" w:ascii="SimSun" w:hAnsi="SimSun" w:eastAsia="SimSun"/>
          <w:sz w:val="24"/>
          <w:szCs w:val="24"/>
          <w:highlight w:val="yellow"/>
        </w:rPr>
      </w:pPr>
      <w:r>
        <w:rPr>
          <w:rFonts w:hint="eastAsia" w:ascii="SimSun" w:hAnsi="SimSun" w:eastAsia="SimSun"/>
          <w:sz w:val="24"/>
          <w:szCs w:val="24"/>
        </w:rPr>
        <w:t>答：AI数据中心业务是目前公司最核心的战略方向之一，公司的光纤光缆产品已经大批量应用于国内外数据中心；</w:t>
      </w:r>
      <w:r>
        <w:rPr>
          <w:rFonts w:ascii="SimSun" w:hAnsi="SimSun" w:eastAsia="SimSun" w:cs="SimSun"/>
          <w:sz w:val="24"/>
          <w:szCs w:val="24"/>
        </w:rPr>
        <w:t>在光纤布线领域，公司专为数据中心布线需求设计，开发了高密度MPO光缆、MPO光缆组件等系列产品，产品具备高扩展性、可靠性与安全性，可满足高性能数据中心内网络互联的需求</w:t>
      </w:r>
      <w:r>
        <w:rPr>
          <w:rFonts w:hint="eastAsia" w:ascii="SimSun" w:hAnsi="SimSun" w:eastAsia="SimSun" w:cs="SimSun"/>
          <w:sz w:val="24"/>
          <w:szCs w:val="24"/>
        </w:rPr>
        <w:t>。目前，公司MPO系列产品也已广泛应用于大型数据中心。</w:t>
      </w:r>
    </w:p>
    <w:p>
      <w:pPr>
        <w:spacing w:before="156" w:beforeLines="50" w:after="156" w:afterLines="50" w:line="360" w:lineRule="auto"/>
        <w:ind w:firstLine="482" w:firstLineChars="20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问题：公司是否有扩产计划？</w:t>
      </w:r>
    </w:p>
    <w:p>
      <w:pPr>
        <w:spacing w:before="156" w:beforeLines="50" w:after="156" w:afterLines="50" w:line="360" w:lineRule="auto"/>
        <w:ind w:firstLine="480" w:firstLineChars="200"/>
        <w:rPr>
          <w:rFonts w:hint="eastAsia" w:ascii="SimSun" w:hAnsi="SimSun" w:eastAsia="SimSun"/>
          <w:color w:val="000000" w:themeColor="text1"/>
          <w:sz w:val="24"/>
          <w:szCs w:val="24"/>
          <w14:textFill>
            <w14:solidFill>
              <w14:schemeClr w14:val="tx1"/>
            </w14:solidFill>
          </w14:textFill>
        </w:rPr>
      </w:pPr>
      <w:r>
        <w:rPr>
          <w:rFonts w:hint="eastAsia" w:ascii="SimSun" w:hAnsi="SimSun" w:eastAsia="SimSun"/>
          <w:color w:val="000000" w:themeColor="text1"/>
          <w:sz w:val="24"/>
          <w:szCs w:val="24"/>
          <w14:textFill>
            <w14:solidFill>
              <w14:schemeClr w14:val="tx1"/>
            </w14:solidFill>
          </w14:textFill>
        </w:rPr>
        <w:t>答：基于光通信行业景气度的现状以及</w:t>
      </w:r>
      <w:r>
        <w:rPr>
          <w:rFonts w:hint="eastAsia" w:ascii="SimSun" w:hAnsi="SimSun" w:eastAsia="SimSun"/>
          <w:color w:val="000000" w:themeColor="text1"/>
          <w:sz w:val="24"/>
          <w:szCs w:val="24"/>
          <w:lang w:val="en-US" w:eastAsia="zh-CN"/>
          <w14:textFill>
            <w14:solidFill>
              <w14:schemeClr w14:val="tx1"/>
            </w14:solidFill>
          </w14:textFill>
        </w:rPr>
        <w:t>公司与多家头部</w:t>
      </w:r>
      <w:r>
        <w:rPr>
          <w:rFonts w:hint="eastAsia" w:ascii="SimSun" w:hAnsi="SimSun" w:eastAsia="SimSun"/>
          <w:color w:val="000000" w:themeColor="text1"/>
          <w:sz w:val="24"/>
          <w:szCs w:val="24"/>
          <w14:textFill>
            <w14:solidFill>
              <w14:schemeClr w14:val="tx1"/>
            </w14:solidFill>
          </w14:textFill>
        </w:rPr>
        <w:t>AI数据中心</w:t>
      </w:r>
      <w:r>
        <w:rPr>
          <w:rFonts w:hint="eastAsia" w:ascii="SimSun" w:hAnsi="SimSun" w:eastAsia="SimSun"/>
          <w:color w:val="000000" w:themeColor="text1"/>
          <w:sz w:val="24"/>
          <w:szCs w:val="24"/>
          <w:lang w:val="en-US" w:eastAsia="zh-CN"/>
          <w14:textFill>
            <w14:solidFill>
              <w14:schemeClr w14:val="tx1"/>
            </w14:solidFill>
          </w14:textFill>
        </w:rPr>
        <w:t>客户签署的长协订单需求，</w:t>
      </w:r>
      <w:r>
        <w:rPr>
          <w:rFonts w:hint="eastAsia" w:ascii="SimSun" w:hAnsi="SimSun" w:eastAsia="SimSun"/>
          <w:color w:val="000000" w:themeColor="text1"/>
          <w:sz w:val="24"/>
          <w:szCs w:val="24"/>
          <w14:textFill>
            <w14:solidFill>
              <w14:schemeClr w14:val="tx1"/>
            </w14:solidFill>
          </w14:textFill>
        </w:rPr>
        <w:t>公司计划对内蒙古基地光棒产能在内蒙古一期的基础上提升1.5倍。</w:t>
      </w:r>
    </w:p>
    <w:p>
      <w:pPr>
        <w:spacing w:before="156" w:beforeLines="50" w:after="156" w:afterLines="50" w:line="360" w:lineRule="auto"/>
        <w:ind w:firstLine="482" w:firstLineChars="20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问题：新一代超低损耗光纤项目的具体情况。</w:t>
      </w:r>
    </w:p>
    <w:p>
      <w:pPr>
        <w:spacing w:before="156" w:beforeLines="50" w:after="156" w:afterLines="50" w:line="360" w:lineRule="auto"/>
        <w:ind w:firstLine="480" w:firstLineChars="200"/>
        <w:textAlignment w:val="baseline"/>
        <w:rPr>
          <w:rFonts w:ascii="Times New Roman" w:hAnsi="Times New Roman" w:eastAsia="SimSun" w:cs="Times New Roman"/>
          <w:color w:val="000000"/>
          <w:kern w:val="0"/>
          <w:sz w:val="24"/>
          <w:szCs w:val="24"/>
        </w:rPr>
      </w:pPr>
      <w:r>
        <w:rPr>
          <w:rFonts w:hint="eastAsia" w:ascii="Times New Roman" w:hAnsi="Times New Roman" w:eastAsia="SimSun" w:cs="Times New Roman"/>
          <w:color w:val="000000"/>
          <w:kern w:val="0"/>
          <w:sz w:val="24"/>
          <w:szCs w:val="24"/>
        </w:rPr>
        <w:t>答</w:t>
      </w:r>
      <w:r>
        <w:rPr>
          <w:rFonts w:hint="eastAsia" w:ascii="SimSun" w:hAnsi="SimSun" w:eastAsia="SimSun" w:cs="SimSun"/>
          <w:sz w:val="24"/>
          <w:szCs w:val="24"/>
        </w:rPr>
        <w:t>：</w:t>
      </w:r>
      <w:r>
        <w:rPr>
          <w:rFonts w:hint="eastAsia" w:ascii="Times New Roman" w:hAnsi="Times New Roman" w:eastAsia="SimSun" w:cs="Times New Roman"/>
          <w:color w:val="000000"/>
          <w:kern w:val="0"/>
          <w:sz w:val="24"/>
          <w:szCs w:val="24"/>
        </w:rPr>
        <w:t>公司AI先进光纤材料研发制造中心扩产项目正在有序推进中；一期扩产项目厂房建设已完美收官，在设备安装阶段。为了在AI、云计算、万物互联、5G-A通信产业等相关技术成熟及应用场景下，满足市场对多模、多芯、空芯等特种光纤持续增长的需求，一期投资将新增工艺、检测及公辅等先进设备用于超低损空芯光纤、超低损多芯光纤和高性能多波段多模光纤等特种光纤的生产。公司将通过提升规模化交付能力，持续为全球高算力光纤连接提供最佳解决方案。</w:t>
      </w:r>
    </w:p>
    <w:p>
      <w:pPr>
        <w:spacing w:before="156" w:beforeLines="50" w:after="156" w:afterLines="50" w:line="360" w:lineRule="auto"/>
        <w:ind w:firstLine="482" w:firstLineChars="20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问题：公司空芯光纤是否有实际应用。</w:t>
      </w:r>
    </w:p>
    <w:p>
      <w:pPr>
        <w:spacing w:before="156" w:beforeLines="50" w:after="156" w:afterLines="50" w:line="360" w:lineRule="auto"/>
        <w:ind w:firstLine="480" w:firstLineChars="200"/>
        <w:rPr>
          <w:rFonts w:hint="eastAsia" w:ascii="SimSun" w:hAnsi="SimSun" w:eastAsia="SimSun"/>
          <w:sz w:val="24"/>
          <w:szCs w:val="24"/>
        </w:rPr>
      </w:pPr>
      <w:r>
        <w:rPr>
          <w:rFonts w:hint="eastAsia" w:ascii="SimSun" w:hAnsi="SimSun" w:eastAsia="SimSun"/>
          <w:sz w:val="24"/>
          <w:szCs w:val="24"/>
        </w:rPr>
        <w:t>答：2025年10月，公司与中国联通联合部署，成功开通并投入运营中国联通首条商用空芯光纤光缆线路，标志着我国通信行业在空芯光纤技术应用方面迈出关键一步。该空芯光纤光缆已实际应用于中国联通江苏分公司南京银行大行宫支行的专线承载业务，实现了“现网实战”场景部署。此外，公司成功中标中国移动宁夏公司2025年至2026年空芯光缆采购项目。</w:t>
      </w:r>
    </w:p>
    <w:p>
      <w:pPr>
        <w:spacing w:before="156" w:beforeLines="50" w:after="156" w:afterLines="50" w:line="360" w:lineRule="auto"/>
        <w:ind w:firstLine="482" w:firstLineChars="200"/>
        <w:rPr>
          <w:rFonts w:hint="eastAsia" w:ascii="SimSun" w:hAnsi="SimSun" w:eastAsia="SimSun"/>
          <w:b/>
          <w:bCs/>
          <w:sz w:val="24"/>
          <w:szCs w:val="24"/>
        </w:rPr>
      </w:pPr>
      <w:r>
        <w:rPr>
          <w:rFonts w:hint="eastAsia" w:ascii="SimSun" w:hAnsi="SimSun" w:eastAsia="SimSun"/>
          <w:b/>
          <w:bCs/>
          <w:sz w:val="24"/>
          <w:szCs w:val="24"/>
        </w:rPr>
        <w:t>问题：公司在多芯光纤领域的进展。</w:t>
      </w:r>
    </w:p>
    <w:p>
      <w:pPr>
        <w:spacing w:before="156" w:beforeLines="50" w:after="156" w:afterLines="50" w:line="360" w:lineRule="auto"/>
        <w:ind w:firstLine="480" w:firstLineChars="200"/>
        <w:rPr>
          <w:rFonts w:hint="eastAsia" w:ascii="SimSun" w:hAnsi="SimSun" w:eastAsia="SimSun"/>
          <w:sz w:val="24"/>
          <w:szCs w:val="24"/>
        </w:rPr>
      </w:pPr>
      <w:r>
        <w:rPr>
          <w:rFonts w:hint="eastAsia" w:ascii="SimSun" w:hAnsi="SimSun" w:eastAsia="SimSun"/>
          <w:sz w:val="24"/>
          <w:szCs w:val="24"/>
        </w:rPr>
        <w:t>答：亨通产品主要应用于城域新型算力示范干线，在广深城域新型算力示范线路中展现出了优异的性能。还联合合作单位开展了多芯光纤在量子通信网络的技术应用，并已实现四芯弱耦合光纤的应用。亨通多芯产品正在参与国家级跨区域新型算力网建设，为算力网络提供高密度传输支持。2025年，亨通光电与中国移动联合启动的S+C+L 波段超低损大有效面积多芯光纤项目正式落地，标志着全球首条“三波段”超低损多芯光纤成功进入实际应用场景。该新型光纤技术在低串扰、低损耗、大有效面积三大核心指标上达到行业最高水平，助力实现了智算中心间毫秒级全光高速接入，完美支撑 T 比特级超大容量多波段传输需求。</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问题：请介绍下星钥光子及</w:t>
      </w:r>
      <w:r>
        <w:rPr>
          <w:rFonts w:ascii="Times New Roman" w:hAnsi="Times New Roman" w:eastAsia="SimSun" w:cs="Times New Roman"/>
          <w:b/>
          <w:bCs/>
          <w:color w:val="000000"/>
          <w:kern w:val="0"/>
          <w:sz w:val="24"/>
          <w:szCs w:val="24"/>
        </w:rPr>
        <w:t>熹联光芯</w:t>
      </w:r>
      <w:r>
        <w:rPr>
          <w:rFonts w:hint="eastAsia" w:ascii="Times New Roman" w:hAnsi="Times New Roman" w:eastAsia="SimSun" w:cs="Times New Roman"/>
          <w:b/>
          <w:bCs/>
          <w:color w:val="000000"/>
          <w:kern w:val="0"/>
          <w:sz w:val="24"/>
          <w:szCs w:val="24"/>
        </w:rPr>
        <w:t>相关情况以及公司在硅光及CPO方面的规划。</w:t>
      </w:r>
    </w:p>
    <w:p>
      <w:pPr>
        <w:spacing w:before="156" w:beforeLines="50" w:after="156" w:afterLines="50" w:line="360" w:lineRule="auto"/>
        <w:ind w:firstLine="480" w:firstLineChars="200"/>
        <w:rPr>
          <w:rFonts w:hint="eastAsia" w:ascii="SimSun" w:hAnsi="SimSun" w:eastAsia="SimSun"/>
          <w:sz w:val="24"/>
          <w:szCs w:val="24"/>
        </w:rPr>
      </w:pPr>
      <w:r>
        <w:rPr>
          <w:rFonts w:hint="eastAsia" w:ascii="SimSun" w:hAnsi="SimSun" w:eastAsia="SimSun"/>
          <w:sz w:val="24"/>
          <w:szCs w:val="24"/>
        </w:rPr>
        <w:t>答：</w:t>
      </w:r>
      <w:r>
        <w:rPr>
          <w:rFonts w:ascii="SimSun" w:hAnsi="SimSun" w:eastAsia="SimSun" w:cs="SimSun"/>
          <w:sz w:val="24"/>
          <w:szCs w:val="24"/>
        </w:rPr>
        <w:t>面向算力中心应用场景，</w:t>
      </w:r>
      <w:r>
        <w:rPr>
          <w:rFonts w:hint="eastAsia" w:ascii="SimSun" w:hAnsi="SimSun" w:eastAsia="SimSun" w:cs="SimSun"/>
          <w:sz w:val="24"/>
          <w:szCs w:val="24"/>
        </w:rPr>
        <w:t>公司正在布局面向下一代的高速光互联产品。</w:t>
      </w:r>
      <w:r>
        <w:rPr>
          <w:rFonts w:ascii="SimSun" w:hAnsi="SimSun" w:eastAsia="SimSun"/>
          <w:sz w:val="24"/>
          <w:szCs w:val="24"/>
        </w:rPr>
        <w:t>星钥光子</w:t>
      </w:r>
      <w:r>
        <w:rPr>
          <w:rFonts w:hint="eastAsia" w:ascii="SimSun" w:hAnsi="SimSun" w:eastAsia="SimSun"/>
          <w:sz w:val="24"/>
          <w:szCs w:val="24"/>
        </w:rPr>
        <w:t>为公司与长光华芯等企业共同发起设立，</w:t>
      </w:r>
      <w:r>
        <w:rPr>
          <w:rFonts w:ascii="SimSun" w:hAnsi="SimSun" w:eastAsia="SimSun"/>
          <w:sz w:val="24"/>
          <w:szCs w:val="24"/>
        </w:rPr>
        <w:t>旨在建设中国专业硅光集成芯片量产工厂</w:t>
      </w:r>
      <w:r>
        <w:rPr>
          <w:rFonts w:hint="eastAsia" w:ascii="SimSun" w:hAnsi="SimSun" w:eastAsia="SimSun"/>
          <w:sz w:val="24"/>
          <w:szCs w:val="24"/>
        </w:rPr>
        <w:t>；</w:t>
      </w:r>
      <w:r>
        <w:rPr>
          <w:rFonts w:ascii="SimSun" w:hAnsi="SimSun" w:eastAsia="SimSun"/>
          <w:sz w:val="24"/>
          <w:szCs w:val="24"/>
        </w:rPr>
        <w:t>熹联光芯</w:t>
      </w:r>
      <w:r>
        <w:rPr>
          <w:rFonts w:hint="eastAsia" w:ascii="SimSun" w:hAnsi="SimSun" w:eastAsia="SimSun"/>
          <w:sz w:val="24"/>
          <w:szCs w:val="24"/>
        </w:rPr>
        <w:t>为公司参股投资企业，主要从事硅光芯片设计业务。上述投资主要系公司的战略投资布局，旨在围绕公司硅光及CPO布局提供协同作用</w:t>
      </w:r>
      <w:r>
        <w:rPr>
          <w:rFonts w:hint="eastAsia" w:ascii="SimSun" w:hAnsi="SimSun" w:eastAsia="SimSun"/>
          <w:sz w:val="24"/>
          <w:szCs w:val="24"/>
          <w:lang w:eastAsia="zh-CN"/>
        </w:rPr>
        <w:t>；</w:t>
      </w:r>
      <w:r>
        <w:rPr>
          <w:rFonts w:hint="eastAsia" w:ascii="SimSun" w:hAnsi="SimSun" w:eastAsia="SimSun"/>
          <w:sz w:val="24"/>
          <w:szCs w:val="24"/>
          <w:lang w:val="en-US" w:eastAsia="zh-CN"/>
        </w:rPr>
        <w:t>上述企业均不在</w:t>
      </w:r>
      <w:r>
        <w:rPr>
          <w:rFonts w:hint="eastAsia" w:ascii="SimSun" w:hAnsi="SimSun" w:eastAsia="SimSun"/>
          <w:sz w:val="24"/>
          <w:szCs w:val="24"/>
        </w:rPr>
        <w:t>公司合并报表</w:t>
      </w:r>
      <w:r>
        <w:rPr>
          <w:rFonts w:hint="eastAsia" w:ascii="SimSun" w:hAnsi="SimSun" w:eastAsia="SimSun"/>
          <w:sz w:val="24"/>
          <w:szCs w:val="24"/>
          <w:lang w:val="en-US" w:eastAsia="zh-CN"/>
        </w:rPr>
        <w:t>范围内</w:t>
      </w:r>
      <w:r>
        <w:rPr>
          <w:rFonts w:hint="eastAsia" w:ascii="SimSun" w:hAnsi="SimSun" w:eastAsia="SimSun"/>
          <w:sz w:val="24"/>
          <w:szCs w:val="24"/>
        </w:rPr>
        <w:t>。</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问题：请介绍下公司海外业务拓展情况。</w:t>
      </w:r>
    </w:p>
    <w:p>
      <w:pPr>
        <w:spacing w:before="156" w:beforeLines="50" w:after="156" w:afterLines="50" w:line="360" w:lineRule="auto"/>
        <w:ind w:firstLine="480" w:firstLineChars="200"/>
        <w:rPr>
          <w:rFonts w:hint="eastAsia" w:ascii="SimSun" w:hAnsi="SimSun" w:eastAsia="SimSun" w:cs="SimSun"/>
          <w:sz w:val="24"/>
          <w:szCs w:val="24"/>
        </w:rPr>
      </w:pPr>
      <w:r>
        <w:rPr>
          <w:rFonts w:hint="eastAsia" w:ascii="SimSun" w:hAnsi="SimSun" w:eastAsia="SimSun"/>
          <w:sz w:val="24"/>
          <w:szCs w:val="24"/>
        </w:rPr>
        <w:t>答：</w:t>
      </w:r>
      <w:r>
        <w:rPr>
          <w:rFonts w:ascii="SimSun" w:hAnsi="SimSun" w:eastAsia="SimSun"/>
          <w:sz w:val="24"/>
          <w:szCs w:val="24"/>
        </w:rPr>
        <w:t>在经济全球化背景下，公司始终坚持全球化运营战略，紧跟国家战略谋发展，积极融入国际国内双循环新发展格局，深入推进全球化发展战略。近年来，公司已在欧洲、南美、南亚、东南亚、非洲、中北美洲等国家地区进行通信网络和能源互联产业的全球化布局，产业覆盖五大洲。公司拥有海外产业基地12个，全球化运营、市场竞争力及品牌价值不断提升；收购了全球领先的德国特种光纤生产商j-fiber和印度尼西亚上市公司PT</w:t>
      </w:r>
      <w:r>
        <w:rPr>
          <w:rFonts w:hint="eastAsia" w:ascii="SimSun" w:hAnsi="SimSun" w:eastAsia="SimSun"/>
          <w:sz w:val="24"/>
          <w:szCs w:val="24"/>
        </w:rPr>
        <w:t xml:space="preserve"> </w:t>
      </w:r>
      <w:r>
        <w:rPr>
          <w:rFonts w:ascii="SimSun" w:hAnsi="SimSun" w:eastAsia="SimSun"/>
          <w:sz w:val="24"/>
          <w:szCs w:val="24"/>
        </w:rPr>
        <w:t>Voksel，其也是印度尼西亚最大的电缆整体解决方案提供商之一。2025年，埃及、印尼、墨西哥等海外光通信产业基地稳步发展；公司重点电力产品继续布局欧洲、拉美、东南亚、中东、北非等市场，持续取得海外客户突破，品牌影响力显著提升</w:t>
      </w:r>
      <w:r>
        <w:rPr>
          <w:rFonts w:hint="eastAsia" w:ascii="SimSun" w:hAnsi="SimSun" w:eastAsia="SimSun"/>
          <w:sz w:val="24"/>
          <w:szCs w:val="24"/>
        </w:rPr>
        <w:t>；印尼海底光缆生产基地正式投产并运营。</w:t>
      </w:r>
    </w:p>
    <w:p>
      <w:pPr>
        <w:spacing w:before="156" w:beforeLines="50" w:after="156" w:afterLines="50" w:line="360" w:lineRule="auto"/>
        <w:ind w:firstLine="480"/>
        <w:rPr>
          <w:rFonts w:hint="eastAsia" w:ascii="SimSun" w:hAnsi="SimSun" w:eastAsia="SimSun" w:cs="SimSun"/>
          <w:b/>
          <w:bCs/>
          <w:sz w:val="24"/>
          <w:szCs w:val="24"/>
        </w:rPr>
      </w:pPr>
      <w:r>
        <w:rPr>
          <w:rFonts w:hint="eastAsia" w:ascii="SimSun" w:hAnsi="SimSun" w:eastAsia="SimSun" w:cs="SimSun"/>
          <w:b/>
          <w:bCs/>
          <w:sz w:val="24"/>
          <w:szCs w:val="24"/>
        </w:rPr>
        <w:t>问题：光通信行业发展趋势，2025年底以来光纤需求激增的主要原因是？</w:t>
      </w:r>
    </w:p>
    <w:p>
      <w:pPr>
        <w:spacing w:before="156" w:beforeLines="50" w:after="156" w:afterLines="50" w:line="360" w:lineRule="auto"/>
        <w:ind w:firstLine="480"/>
        <w:rPr>
          <w:rFonts w:hint="eastAsia" w:ascii="SimSun" w:hAnsi="SimSun" w:eastAsia="SimSun" w:cs="SimSun"/>
          <w:sz w:val="24"/>
          <w:szCs w:val="24"/>
        </w:rPr>
      </w:pPr>
      <w:r>
        <w:rPr>
          <w:rFonts w:hint="eastAsia" w:ascii="SimSun" w:hAnsi="SimSun" w:eastAsia="SimSun" w:cs="SimSun"/>
          <w:sz w:val="24"/>
          <w:szCs w:val="24"/>
        </w:rPr>
        <w:t>答：</w:t>
      </w:r>
      <w:r>
        <w:rPr>
          <w:rFonts w:ascii="SimSun" w:hAnsi="SimSun" w:eastAsia="SimSun" w:cs="SimSun"/>
          <w:sz w:val="24"/>
          <w:szCs w:val="24"/>
        </w:rPr>
        <w:t>光纤光缆市场正经历一轮显著的涨价潮。不同于过去由“光纤到户（FTTH）”或5G建设驱动的周期，驱动本轮涨价行情的核心引擎是AI。作为物理层传输介质的光纤，其需求结构已发生根本变化。AI数据中心对光纤的</w:t>
      </w:r>
      <w:r>
        <w:rPr>
          <w:rFonts w:hint="eastAsia" w:ascii="SimSun" w:hAnsi="SimSun" w:eastAsia="SimSun" w:cs="SimSun"/>
          <w:sz w:val="24"/>
          <w:szCs w:val="24"/>
        </w:rPr>
        <w:t>需求增量呈现大幅度攀升</w:t>
      </w:r>
      <w:r>
        <w:rPr>
          <w:rFonts w:ascii="SimSun" w:hAnsi="SimSun" w:eastAsia="SimSun" w:cs="SimSun"/>
          <w:sz w:val="24"/>
          <w:szCs w:val="24"/>
        </w:rPr>
        <w:t>。一边是需求全面增长，一边是供给端受制于光棒产能无法快速响应，供需失衡的缺口被瞬间放大，推动光纤价格加速上涨。</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问题：公司2025年度营业收入增长、净利润略有降低的原因。</w:t>
      </w:r>
    </w:p>
    <w:p>
      <w:pPr>
        <w:spacing w:line="360" w:lineRule="auto"/>
        <w:ind w:firstLine="480"/>
        <w:rPr>
          <w:rFonts w:hint="eastAsia" w:ascii="SimSun" w:hAnsi="SimSun" w:eastAsia="SimSun" w:cs="SimSun"/>
          <w:sz w:val="24"/>
          <w:szCs w:val="24"/>
        </w:rPr>
      </w:pPr>
      <w:r>
        <w:rPr>
          <w:rFonts w:hint="eastAsia" w:ascii="SimSun" w:hAnsi="SimSun" w:eastAsia="SimSun" w:cs="SimSun"/>
          <w:sz w:val="24"/>
          <w:szCs w:val="24"/>
        </w:rPr>
        <w:t>答</w:t>
      </w:r>
      <w:r>
        <w:rPr>
          <w:rFonts w:ascii="SimSun" w:hAnsi="SimSun" w:eastAsia="SimSun" w:cs="SimSun"/>
          <w:sz w:val="24"/>
          <w:szCs w:val="24"/>
        </w:rPr>
        <w:t>：2025年，在“新基建”“碳达峰、碳中和”“数字中国”“海洋经济”等背景下，人工智能AI快速发展、数据中心算力需求增长；特高压建设、电网数字化智能化升级、新能源基础建设以及海洋能源与海洋通信产业稳步发展，公司持续优化战略布局，积极把握市场机遇，带动公司特高压及电网智能化和工业与新能源业务保持了稳步增长，市场综合竞争力进一步提升；能源传输材料铜导体产能较去年同期有所提升，带动其业务大幅增长。同时，公司进一步加强对通信和能源领域核心产品技术研发及成本管控，优化运营效率。</w:t>
      </w:r>
      <w:r>
        <w:rPr>
          <w:rFonts w:hint="eastAsia" w:ascii="SimSun" w:hAnsi="SimSun" w:eastAsia="SimSun" w:cs="SimSun"/>
          <w:sz w:val="24"/>
          <w:szCs w:val="24"/>
        </w:rPr>
        <w:t>2025年度</w:t>
      </w:r>
      <w:r>
        <w:rPr>
          <w:rFonts w:ascii="SimSun" w:hAnsi="SimSun" w:eastAsia="SimSun" w:cs="SimSun"/>
          <w:sz w:val="24"/>
          <w:szCs w:val="24"/>
        </w:rPr>
        <w:t>，公司实现营业收入668.55亿元，同比增长11.45%。实现归属于上市公司股东的净利润26.80亿元</w:t>
      </w:r>
      <w:r>
        <w:rPr>
          <w:rFonts w:hint="eastAsia" w:ascii="SimSun" w:hAnsi="SimSun" w:eastAsia="SimSun" w:cs="SimSun"/>
          <w:sz w:val="24"/>
          <w:szCs w:val="24"/>
        </w:rPr>
        <w:t>，</w:t>
      </w:r>
      <w:r>
        <w:rPr>
          <w:rFonts w:ascii="SimSun" w:hAnsi="SimSun" w:eastAsia="SimSun" w:cs="SimSun"/>
          <w:sz w:val="24"/>
          <w:szCs w:val="24"/>
        </w:rPr>
        <w:t>同比略有下降，主要系公司2025年度股份支付影响金额同比增加1.42亿元，增长127.20%；实现归属于上市公司股东的扣除非经常性损益的净利润25.65亿元，</w:t>
      </w:r>
      <w:r>
        <w:rPr>
          <w:rFonts w:hint="eastAsia" w:ascii="SimSun" w:hAnsi="SimSun" w:eastAsia="SimSun" w:cs="SimSun"/>
          <w:sz w:val="24"/>
          <w:szCs w:val="24"/>
        </w:rPr>
        <w:t>同比</w:t>
      </w:r>
      <w:r>
        <w:rPr>
          <w:rFonts w:ascii="SimSun" w:hAnsi="SimSun" w:eastAsia="SimSun" w:cs="SimSun"/>
          <w:sz w:val="24"/>
          <w:szCs w:val="24"/>
        </w:rPr>
        <w:t>基本持平。</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问题：介绍公司2025年研发投入情况。</w:t>
      </w:r>
    </w:p>
    <w:p>
      <w:pPr>
        <w:spacing w:before="156" w:beforeLines="50" w:after="156" w:afterLines="50" w:line="360" w:lineRule="auto"/>
        <w:ind w:firstLine="480"/>
        <w:rPr>
          <w:rFonts w:hint="eastAsia" w:ascii="SimSun" w:hAnsi="SimSun" w:eastAsia="SimSun" w:cs="SimSun"/>
          <w:sz w:val="24"/>
          <w:szCs w:val="24"/>
        </w:rPr>
      </w:pPr>
      <w:r>
        <w:rPr>
          <w:rFonts w:hint="eastAsia" w:ascii="SimSun" w:hAnsi="SimSun" w:eastAsia="SimSun" w:cs="SimSun"/>
          <w:sz w:val="24"/>
          <w:szCs w:val="24"/>
        </w:rPr>
        <w:t>答：</w:t>
      </w:r>
      <w:r>
        <w:rPr>
          <w:rFonts w:ascii="SimSun" w:hAnsi="SimSun" w:eastAsia="SimSun" w:cs="SimSun"/>
          <w:sz w:val="24"/>
          <w:szCs w:val="24"/>
        </w:rPr>
        <w:t>亨通将依托产业创新优势，积极参与更多标准制定工作，推动中国标准“走出去”，为提升我国通信与能源等领域国际话语权、加快打造世界一流企业注入源源不断的创新活力。2025年，公司持续在光通信、海洋通信、海洋能源等板块的研发，研发投入20.20亿元，研发投入居行业前列。</w:t>
      </w:r>
    </w:p>
    <w:p>
      <w:pPr>
        <w:spacing w:before="156" w:beforeLines="50" w:after="156" w:afterLines="50" w:line="360" w:lineRule="auto"/>
        <w:ind w:firstLine="480"/>
        <w:rPr>
          <w:rFonts w:hint="eastAsia" w:ascii="SimSun" w:hAnsi="SimSun" w:eastAsia="SimSun" w:cs="SimSun"/>
          <w:sz w:val="24"/>
          <w:szCs w:val="24"/>
        </w:rPr>
      </w:pPr>
      <w:r>
        <w:rPr>
          <w:rFonts w:hint="eastAsia" w:ascii="Times New Roman" w:hAnsi="Times New Roman" w:eastAsia="SimSun" w:cs="Times New Roman"/>
          <w:b/>
          <w:bCs/>
          <w:color w:val="000000"/>
          <w:kern w:val="0"/>
          <w:sz w:val="24"/>
          <w:szCs w:val="24"/>
        </w:rPr>
        <w:t>问题：公司海洋能源领域的业务开展情况。</w:t>
      </w:r>
    </w:p>
    <w:p>
      <w:pPr>
        <w:spacing w:line="360" w:lineRule="auto"/>
        <w:ind w:firstLine="480"/>
        <w:rPr>
          <w:rFonts w:hint="eastAsia" w:ascii="SimSun" w:hAnsi="SimSun" w:eastAsia="SimSun" w:cs="SimSun"/>
          <w:sz w:val="24"/>
          <w:szCs w:val="24"/>
        </w:rPr>
      </w:pPr>
      <w:r>
        <w:rPr>
          <w:rFonts w:hint="eastAsia" w:ascii="SimSun" w:hAnsi="SimSun" w:eastAsia="SimSun" w:cs="SimSun"/>
          <w:sz w:val="24"/>
          <w:szCs w:val="24"/>
        </w:rPr>
        <w:t>答：</w:t>
      </w:r>
      <w:r>
        <w:rPr>
          <w:rFonts w:ascii="SimSun" w:hAnsi="SimSun" w:eastAsia="SimSun" w:cs="SimSun"/>
          <w:sz w:val="24"/>
          <w:szCs w:val="24"/>
        </w:rPr>
        <w:t>亨通高压凭借在超高压海缆领域的突破性创新实力和领先地位，成功入选中央广播电视总台“2025 新质生产力年度十大案例”，成为行业唯一入选企业。</w:t>
      </w:r>
    </w:p>
    <w:p>
      <w:pPr>
        <w:spacing w:line="360" w:lineRule="auto"/>
        <w:ind w:firstLine="480"/>
        <w:rPr>
          <w:rFonts w:hint="eastAsia" w:ascii="SimSun" w:hAnsi="SimSun" w:eastAsia="SimSun" w:cs="SimSun"/>
          <w:sz w:val="24"/>
          <w:szCs w:val="24"/>
        </w:rPr>
      </w:pPr>
      <w:r>
        <w:rPr>
          <w:rFonts w:ascii="SimSun" w:hAnsi="SimSun" w:eastAsia="SimSun" w:cs="SimSun"/>
          <w:sz w:val="24"/>
          <w:szCs w:val="24"/>
        </w:rPr>
        <w:t>2025年以来，公司</w:t>
      </w:r>
      <w:r>
        <w:rPr>
          <w:rFonts w:hint="eastAsia" w:ascii="SimSun" w:hAnsi="SimSun" w:eastAsia="SimSun" w:cs="SimSun"/>
          <w:sz w:val="24"/>
          <w:szCs w:val="24"/>
        </w:rPr>
        <w:t>继续</w:t>
      </w:r>
      <w:r>
        <w:rPr>
          <w:rFonts w:ascii="SimSun" w:hAnsi="SimSun" w:eastAsia="SimSun" w:cs="SimSun"/>
          <w:sz w:val="24"/>
          <w:szCs w:val="24"/>
        </w:rPr>
        <w:t>聚焦全球风电资源，推进全球区域合作发展</w:t>
      </w:r>
      <w:r>
        <w:rPr>
          <w:rFonts w:hint="eastAsia" w:ascii="SimSun" w:hAnsi="SimSun" w:eastAsia="SimSun" w:cs="SimSun"/>
          <w:sz w:val="24"/>
          <w:szCs w:val="24"/>
        </w:rPr>
        <w:t>；</w:t>
      </w:r>
      <w:r>
        <w:rPr>
          <w:rFonts w:ascii="SimSun" w:hAnsi="SimSun" w:eastAsia="SimSun" w:cs="SimSun"/>
          <w:sz w:val="24"/>
          <w:szCs w:val="24"/>
        </w:rPr>
        <w:t>持续中标国内外海上风电</w:t>
      </w:r>
      <w:r>
        <w:rPr>
          <w:rFonts w:hint="eastAsia" w:ascii="SimSun" w:hAnsi="SimSun" w:eastAsia="SimSun" w:cs="SimSun"/>
          <w:sz w:val="24"/>
          <w:szCs w:val="24"/>
        </w:rPr>
        <w:t>和</w:t>
      </w:r>
      <w:r>
        <w:rPr>
          <w:rFonts w:ascii="SimSun" w:hAnsi="SimSun" w:eastAsia="SimSun" w:cs="SimSun"/>
          <w:sz w:val="24"/>
          <w:szCs w:val="24"/>
        </w:rPr>
        <w:t>海洋油气</w:t>
      </w:r>
      <w:r>
        <w:rPr>
          <w:rFonts w:hint="eastAsia" w:ascii="SimSun" w:hAnsi="SimSun" w:eastAsia="SimSun" w:cs="SimSun"/>
          <w:sz w:val="24"/>
          <w:szCs w:val="24"/>
        </w:rPr>
        <w:t>等</w:t>
      </w:r>
      <w:r>
        <w:rPr>
          <w:rFonts w:ascii="SimSun" w:hAnsi="SimSun" w:eastAsia="SimSun" w:cs="SimSun"/>
          <w:sz w:val="24"/>
          <w:szCs w:val="24"/>
        </w:rPr>
        <w:t>海洋能源项目，在手订单充足。</w:t>
      </w:r>
    </w:p>
    <w:p>
      <w:pPr>
        <w:spacing w:line="360" w:lineRule="auto"/>
        <w:ind w:firstLine="480"/>
        <w:rPr>
          <w:rFonts w:hint="eastAsia" w:ascii="SimSun" w:hAnsi="SimSun" w:eastAsia="SimSun" w:cs="SimSun"/>
          <w:sz w:val="24"/>
          <w:szCs w:val="24"/>
        </w:rPr>
      </w:pPr>
      <w:r>
        <w:rPr>
          <w:rFonts w:hint="eastAsia" w:ascii="SimSun" w:hAnsi="SimSun" w:eastAsia="SimSun" w:cs="SimSun"/>
          <w:sz w:val="24"/>
          <w:szCs w:val="24"/>
        </w:rPr>
        <w:t>2025年</w:t>
      </w:r>
      <w:r>
        <w:rPr>
          <w:rFonts w:ascii="SimSun" w:hAnsi="SimSun" w:eastAsia="SimSun" w:cs="SimSun"/>
          <w:sz w:val="24"/>
          <w:szCs w:val="24"/>
        </w:rPr>
        <w:t>，公司中标的辽宁丹东东港一期 100 万千瓦海上风电项目是中国海上风电领域的一项引领工程，是国内首个采用±500kV 直流输出主缆及 66kV 铝芯分支缆的百万千瓦级深远海风电项目；且首次批量采用创新型 66kV 铝芯分支海缆结构为海上风电海缆选型提供了新的解决方案，进一步提升和巩固了公司在全球海洋能源领域的品牌影响力。</w:t>
      </w:r>
    </w:p>
    <w:p>
      <w:pPr>
        <w:spacing w:line="360" w:lineRule="auto"/>
        <w:ind w:firstLine="480"/>
        <w:rPr>
          <w:rFonts w:hint="eastAsia" w:ascii="SimSun" w:hAnsi="SimSun" w:eastAsia="SimSun" w:cs="SimSun"/>
          <w:sz w:val="24"/>
          <w:szCs w:val="24"/>
        </w:rPr>
      </w:pPr>
      <w:r>
        <w:rPr>
          <w:rFonts w:ascii="SimSun" w:hAnsi="SimSun" w:eastAsia="SimSun" w:cs="SimSun"/>
          <w:sz w:val="24"/>
          <w:szCs w:val="24"/>
        </w:rPr>
        <w:t>2025年，公司实现了海底电缆市场的产品全覆盖和市场全覆盖，除了海上风电和海洋油气领域，海上光伏全系列产品、中海油动态缆系统也实现了中标和业绩突破，并获取国内首个高电压大截面深水铜丝铠装海缆项目。</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问题：公司在海洋通信领域的竞争优势。</w:t>
      </w:r>
    </w:p>
    <w:p>
      <w:pPr>
        <w:spacing w:line="360" w:lineRule="auto"/>
        <w:ind w:firstLine="480"/>
        <w:rPr>
          <w:rFonts w:hint="eastAsia" w:ascii="SimSun" w:hAnsi="SimSun" w:eastAsia="SimSun" w:cs="SimSun"/>
          <w:sz w:val="24"/>
          <w:szCs w:val="24"/>
        </w:rPr>
      </w:pPr>
      <w:r>
        <w:rPr>
          <w:rFonts w:hint="eastAsia" w:ascii="SimSun" w:hAnsi="SimSun" w:eastAsia="SimSun" w:cs="SimSun"/>
          <w:sz w:val="24"/>
          <w:szCs w:val="24"/>
        </w:rPr>
        <w:t>答：公司</w:t>
      </w:r>
      <w:r>
        <w:rPr>
          <w:rFonts w:ascii="SimSun" w:hAnsi="SimSun" w:eastAsia="SimSun" w:cs="SimSun"/>
          <w:sz w:val="24"/>
          <w:szCs w:val="24"/>
        </w:rPr>
        <w:t>持续加大对海洋通信领域的技术研发与产业布局，拥有海底光缆、海底接驳盒、中继器、分支器研发生产制造、跨洋通信网络系统解决方案提供以及跨洋通信网络系统建设全产业链，是全球前四具备成熟的跨洋洲际海底光缆通信网络综合解决方案能力和万公里级超长距海底光缆系统项目交付经验的唯一中国企业。</w:t>
      </w:r>
      <w:r>
        <w:rPr>
          <w:rFonts w:hint="eastAsia" w:ascii="SimSun" w:hAnsi="SimSun" w:eastAsia="SimSun" w:cs="SimSun"/>
          <w:sz w:val="24"/>
          <w:szCs w:val="24"/>
        </w:rPr>
        <w:t>截至2025年末，全球海底光缆签约交付里程数已累计突破130,000公里。</w:t>
      </w:r>
    </w:p>
    <w:p>
      <w:pPr>
        <w:spacing w:before="156" w:beforeLines="50" w:after="156" w:afterLines="50" w:line="360" w:lineRule="auto"/>
        <w:ind w:firstLine="480"/>
        <w:rPr>
          <w:rFonts w:ascii="Times New Roman" w:hAnsi="Times New Roman" w:eastAsia="SimSun" w:cs="Times New Roman"/>
          <w:b/>
          <w:bCs/>
          <w:color w:val="000000"/>
          <w:kern w:val="0"/>
          <w:sz w:val="24"/>
          <w:szCs w:val="24"/>
        </w:rPr>
      </w:pPr>
      <w:r>
        <w:rPr>
          <w:rFonts w:hint="eastAsia" w:ascii="Times New Roman" w:hAnsi="Times New Roman" w:eastAsia="SimSun" w:cs="Times New Roman"/>
          <w:b/>
          <w:bCs/>
          <w:color w:val="000000"/>
          <w:kern w:val="0"/>
          <w:sz w:val="24"/>
          <w:szCs w:val="24"/>
        </w:rPr>
        <w:t>问题：请介绍下公司近期在手订单情况。</w:t>
      </w:r>
    </w:p>
    <w:p>
      <w:pPr>
        <w:spacing w:before="156" w:beforeLines="50" w:after="156" w:afterLines="50" w:line="360" w:lineRule="auto"/>
        <w:ind w:firstLine="480" w:firstLineChars="200"/>
        <w:jc w:val="left"/>
        <w:rPr>
          <w:rFonts w:hint="eastAsia" w:ascii="SimSun" w:hAnsi="SimSun" w:eastAsia="SimSun" w:cs="SimSun"/>
          <w:sz w:val="24"/>
          <w:szCs w:val="24"/>
        </w:rPr>
      </w:pPr>
      <w:r>
        <w:rPr>
          <w:rFonts w:hint="eastAsia" w:ascii="SimSun" w:hAnsi="SimSun" w:eastAsia="SimSun"/>
          <w:sz w:val="24"/>
          <w:szCs w:val="24"/>
        </w:rPr>
        <w:t>答：截至公司第一季度报告披露日，公司拥有海底电缆、海洋工程及陆缆产品等能源互联领域在手订单金额约220亿元；海洋通信业务相关在手订单金额约70亿元；PEACE跨洋海缆通信系统运营项目在手订单超3亿美元。</w:t>
      </w:r>
    </w:p>
    <w:p>
      <w:pPr>
        <w:spacing w:line="360" w:lineRule="auto"/>
        <w:ind w:firstLine="480"/>
        <w:rPr>
          <w:rFonts w:hint="eastAsia" w:ascii="SimSun" w:hAnsi="SimSun" w:eastAsia="SimSun" w:cs="SimSun"/>
          <w:sz w:val="24"/>
          <w:szCs w:val="24"/>
        </w:rPr>
      </w:pPr>
      <w:r>
        <w:rPr>
          <w:rFonts w:hint="eastAsia" w:ascii="Times New Roman" w:hAnsi="Times New Roman" w:eastAsia="SimSun" w:cs="Times New Roman"/>
          <w:b/>
          <w:bCs/>
          <w:color w:val="000000"/>
          <w:kern w:val="0"/>
          <w:sz w:val="24"/>
          <w:szCs w:val="24"/>
        </w:rPr>
        <w:t>问题：公司在ESG方面的成绩和进展。</w:t>
      </w:r>
    </w:p>
    <w:p>
      <w:pPr>
        <w:spacing w:line="360" w:lineRule="auto"/>
        <w:ind w:firstLine="480"/>
        <w:rPr>
          <w:rFonts w:hint="eastAsia" w:ascii="SimSun" w:hAnsi="SimSun" w:eastAsia="SimSun" w:cs="SimSun"/>
          <w:sz w:val="24"/>
          <w:szCs w:val="24"/>
        </w:rPr>
      </w:pPr>
      <w:r>
        <w:rPr>
          <w:rFonts w:hint="eastAsia" w:ascii="SimSun" w:hAnsi="SimSun" w:eastAsia="SimSun" w:cs="SimSun"/>
          <w:sz w:val="24"/>
          <w:szCs w:val="24"/>
        </w:rPr>
        <w:t>答：公司在全球领先的投资决策支持机构 MSCI ESG 评级已跃升至“A”，在国内同行业中名次居最前；S&amp;P Global CSA（标普）评分提高至45分，领先全球行业标杆；在Wind ESG评级中获得AA评级（所在行业最高等级），位列行业前7.63%（2/131）。2025年，子公司亨通高压荣获Ecovadis铜牌评级。2026年，亨通光电首次参评即成功登顶Ecovadis金牌评级；子公司Cablescom已连续多年获得Ecovadis金牌评级。评级的逐步提升意味着公司在绿色低碳转型、供应链责任管理以及治理透明度等方面的持续努力获得国际权威机构进一步认可，是公司在全球舞台上迈向高质量发展的重要里程碑，将为公司未来全球化发展注入新的动力。</w:t>
      </w:r>
    </w:p>
    <w:p>
      <w:pPr>
        <w:spacing w:line="360" w:lineRule="auto"/>
        <w:ind w:firstLine="0"/>
        <w:jc w:val="both"/>
        <w:rPr>
          <w:rFonts w:hint="eastAsia" w:ascii="SimSun" w:hAnsi="SimSun" w:cs="SimSun"/>
          <w:color w:val="000000"/>
          <w:kern w:val="0"/>
          <w:sz w:val="24"/>
        </w:rPr>
      </w:pPr>
    </w:p>
    <w:p>
      <w:pPr>
        <w:spacing w:line="360" w:lineRule="auto"/>
        <w:ind w:firstLine="0"/>
        <w:jc w:val="both"/>
        <w:rPr>
          <w:rFonts w:hint="eastAsia" w:ascii="SimSun" w:hAnsi="SimSun" w:cs="SimSun"/>
          <w:color w:val="000000"/>
          <w:kern w:val="0"/>
          <w:sz w:val="24"/>
        </w:rPr>
      </w:pPr>
    </w:p>
    <w:p>
      <w:pPr>
        <w:spacing w:line="360" w:lineRule="auto"/>
        <w:ind w:firstLine="480"/>
        <w:jc w:val="right"/>
        <w:rPr>
          <w:rFonts w:hint="eastAsia" w:ascii="SimSun" w:hAnsi="SimSun" w:cs="SimSun"/>
          <w:color w:val="000000"/>
          <w:kern w:val="0"/>
          <w:sz w:val="24"/>
        </w:rPr>
      </w:pPr>
      <w:r>
        <w:rPr>
          <w:rFonts w:hint="eastAsia" w:ascii="SimSun" w:hAnsi="SimSun" w:cs="SimSun"/>
          <w:color w:val="000000"/>
          <w:kern w:val="0"/>
          <w:sz w:val="24"/>
        </w:rPr>
        <w:t>江苏亨通光电股份有限公司</w:t>
      </w:r>
    </w:p>
    <w:p>
      <w:pPr>
        <w:spacing w:line="360" w:lineRule="auto"/>
        <w:ind w:right="1075" w:rightChars="512" w:firstLine="480"/>
        <w:jc w:val="right"/>
        <w:rPr>
          <w:rFonts w:hint="eastAsia" w:ascii="SimSun" w:hAnsi="SimSun" w:cs="SimSun"/>
          <w:color w:val="000000"/>
          <w:kern w:val="0"/>
          <w:sz w:val="24"/>
        </w:rPr>
      </w:pPr>
      <w:r>
        <w:rPr>
          <w:rFonts w:hint="eastAsia" w:ascii="SimSun" w:hAnsi="SimSun" w:cs="SimSun"/>
          <w:color w:val="000000"/>
          <w:kern w:val="0"/>
          <w:sz w:val="24"/>
        </w:rPr>
        <w:t>董事会</w:t>
      </w:r>
    </w:p>
    <w:p>
      <w:pPr>
        <w:spacing w:line="360" w:lineRule="auto"/>
        <w:jc w:val="center"/>
        <w:rPr>
          <w:rFonts w:hint="eastAsia" w:ascii="SimSun" w:hAnsi="SimSun" w:cs="SimSun"/>
          <w:color w:val="000000"/>
          <w:kern w:val="0"/>
          <w:sz w:val="24"/>
        </w:rPr>
      </w:pPr>
      <w:r>
        <w:rPr>
          <w:rFonts w:hint="eastAsia" w:ascii="SimSun" w:hAnsi="SimSun"/>
          <w:sz w:val="24"/>
          <w:lang w:val="en-US" w:eastAsia="zh-CN"/>
        </w:rPr>
        <w:t xml:space="preserve">                                                </w:t>
      </w:r>
      <w:r>
        <w:rPr>
          <w:rFonts w:hint="eastAsia" w:ascii="SimSun" w:hAnsi="SimSun"/>
          <w:sz w:val="24"/>
        </w:rPr>
        <w:t>二○二六年五月十五日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ACFD9"/>
    <w:multiLevelType w:val="singleLevel"/>
    <w:tmpl w:val="539ACF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ODJhNGQ3NTEyODc2NTMzNWQ5MzFjNTQ1Y2E1YTYifQ=="/>
    <w:docVar w:name="KSO_WPS_MARK_KEY" w:val="2bdc507f-50fe-473b-bde8-600e6822d72b"/>
  </w:docVars>
  <w:rsids>
    <w:rsidRoot w:val="00172A27"/>
    <w:rsid w:val="00012653"/>
    <w:rsid w:val="0001741F"/>
    <w:rsid w:val="00023487"/>
    <w:rsid w:val="00027AC4"/>
    <w:rsid w:val="000449F4"/>
    <w:rsid w:val="00050582"/>
    <w:rsid w:val="00071AD8"/>
    <w:rsid w:val="00090461"/>
    <w:rsid w:val="00094A13"/>
    <w:rsid w:val="000A52B6"/>
    <w:rsid w:val="000A5C0B"/>
    <w:rsid w:val="000B1B7B"/>
    <w:rsid w:val="000B2681"/>
    <w:rsid w:val="000D0CB2"/>
    <w:rsid w:val="000E0598"/>
    <w:rsid w:val="000E5EE8"/>
    <w:rsid w:val="000E753D"/>
    <w:rsid w:val="00103928"/>
    <w:rsid w:val="0010418B"/>
    <w:rsid w:val="00120F9F"/>
    <w:rsid w:val="001213BA"/>
    <w:rsid w:val="001307DF"/>
    <w:rsid w:val="00134026"/>
    <w:rsid w:val="00144F23"/>
    <w:rsid w:val="001569E1"/>
    <w:rsid w:val="00172A27"/>
    <w:rsid w:val="00174AA0"/>
    <w:rsid w:val="0019454F"/>
    <w:rsid w:val="00194E90"/>
    <w:rsid w:val="001B0A6B"/>
    <w:rsid w:val="001B0D3B"/>
    <w:rsid w:val="001B497E"/>
    <w:rsid w:val="001C7D86"/>
    <w:rsid w:val="001D1E61"/>
    <w:rsid w:val="001D3419"/>
    <w:rsid w:val="001F3D86"/>
    <w:rsid w:val="002021C7"/>
    <w:rsid w:val="00202AAB"/>
    <w:rsid w:val="00202EFF"/>
    <w:rsid w:val="00225AFA"/>
    <w:rsid w:val="00235AF7"/>
    <w:rsid w:val="00236508"/>
    <w:rsid w:val="00246F43"/>
    <w:rsid w:val="00270905"/>
    <w:rsid w:val="00273982"/>
    <w:rsid w:val="00281BAF"/>
    <w:rsid w:val="00284DC0"/>
    <w:rsid w:val="0029422E"/>
    <w:rsid w:val="002B56C7"/>
    <w:rsid w:val="002C0A1B"/>
    <w:rsid w:val="002C3803"/>
    <w:rsid w:val="002E4CE7"/>
    <w:rsid w:val="002F55E8"/>
    <w:rsid w:val="003067ED"/>
    <w:rsid w:val="00321EC1"/>
    <w:rsid w:val="003275DC"/>
    <w:rsid w:val="00333179"/>
    <w:rsid w:val="00354B2E"/>
    <w:rsid w:val="00374EAF"/>
    <w:rsid w:val="003816B1"/>
    <w:rsid w:val="003935F7"/>
    <w:rsid w:val="003A4403"/>
    <w:rsid w:val="003E0DE2"/>
    <w:rsid w:val="003E186E"/>
    <w:rsid w:val="003E264B"/>
    <w:rsid w:val="003E596A"/>
    <w:rsid w:val="004128D5"/>
    <w:rsid w:val="004147B0"/>
    <w:rsid w:val="0042233A"/>
    <w:rsid w:val="004266BB"/>
    <w:rsid w:val="00440DB2"/>
    <w:rsid w:val="00455993"/>
    <w:rsid w:val="004564C7"/>
    <w:rsid w:val="00457259"/>
    <w:rsid w:val="0047011B"/>
    <w:rsid w:val="00472EE4"/>
    <w:rsid w:val="00483B5B"/>
    <w:rsid w:val="00484F4E"/>
    <w:rsid w:val="0049071C"/>
    <w:rsid w:val="00490E28"/>
    <w:rsid w:val="00491F1E"/>
    <w:rsid w:val="0049315D"/>
    <w:rsid w:val="00493EB0"/>
    <w:rsid w:val="00494D26"/>
    <w:rsid w:val="004A1B6F"/>
    <w:rsid w:val="004D12A8"/>
    <w:rsid w:val="004D7E19"/>
    <w:rsid w:val="004E03CF"/>
    <w:rsid w:val="004F2EF5"/>
    <w:rsid w:val="004F42B5"/>
    <w:rsid w:val="00513190"/>
    <w:rsid w:val="00525D2B"/>
    <w:rsid w:val="0053148F"/>
    <w:rsid w:val="005317B8"/>
    <w:rsid w:val="005473CD"/>
    <w:rsid w:val="005618D3"/>
    <w:rsid w:val="00563B86"/>
    <w:rsid w:val="005817B6"/>
    <w:rsid w:val="005A2DD6"/>
    <w:rsid w:val="005A4C8A"/>
    <w:rsid w:val="005A6971"/>
    <w:rsid w:val="005B04BA"/>
    <w:rsid w:val="005B1C2C"/>
    <w:rsid w:val="005D0E2F"/>
    <w:rsid w:val="005D1F49"/>
    <w:rsid w:val="005D2AA9"/>
    <w:rsid w:val="005E4208"/>
    <w:rsid w:val="00601FAF"/>
    <w:rsid w:val="00602C87"/>
    <w:rsid w:val="00603AFF"/>
    <w:rsid w:val="00614646"/>
    <w:rsid w:val="00622BF5"/>
    <w:rsid w:val="00623E78"/>
    <w:rsid w:val="006336F2"/>
    <w:rsid w:val="00650B28"/>
    <w:rsid w:val="00660923"/>
    <w:rsid w:val="0067574A"/>
    <w:rsid w:val="00675F31"/>
    <w:rsid w:val="00681A1D"/>
    <w:rsid w:val="006A5D35"/>
    <w:rsid w:val="006C0EF7"/>
    <w:rsid w:val="006C29E4"/>
    <w:rsid w:val="006C485F"/>
    <w:rsid w:val="006E59DE"/>
    <w:rsid w:val="006F3885"/>
    <w:rsid w:val="006F618D"/>
    <w:rsid w:val="007014C7"/>
    <w:rsid w:val="00705E94"/>
    <w:rsid w:val="00725821"/>
    <w:rsid w:val="00747DF1"/>
    <w:rsid w:val="00757977"/>
    <w:rsid w:val="007729F1"/>
    <w:rsid w:val="00784BCB"/>
    <w:rsid w:val="007851CF"/>
    <w:rsid w:val="00791862"/>
    <w:rsid w:val="007A154B"/>
    <w:rsid w:val="007A3481"/>
    <w:rsid w:val="007A3EDA"/>
    <w:rsid w:val="007A4FFD"/>
    <w:rsid w:val="007C4783"/>
    <w:rsid w:val="007F2D72"/>
    <w:rsid w:val="007F6390"/>
    <w:rsid w:val="008100FB"/>
    <w:rsid w:val="00814A35"/>
    <w:rsid w:val="0083334E"/>
    <w:rsid w:val="008422E8"/>
    <w:rsid w:val="00842618"/>
    <w:rsid w:val="00854EB1"/>
    <w:rsid w:val="008556AB"/>
    <w:rsid w:val="00855F2D"/>
    <w:rsid w:val="00877DD0"/>
    <w:rsid w:val="00884497"/>
    <w:rsid w:val="008B0CF7"/>
    <w:rsid w:val="008B23DD"/>
    <w:rsid w:val="008B7BC3"/>
    <w:rsid w:val="008E50A1"/>
    <w:rsid w:val="008F1880"/>
    <w:rsid w:val="008F29DA"/>
    <w:rsid w:val="00903D27"/>
    <w:rsid w:val="00912D36"/>
    <w:rsid w:val="00916A0A"/>
    <w:rsid w:val="009253B2"/>
    <w:rsid w:val="009342D2"/>
    <w:rsid w:val="009427F4"/>
    <w:rsid w:val="00973D8C"/>
    <w:rsid w:val="009849A6"/>
    <w:rsid w:val="00984C94"/>
    <w:rsid w:val="009C08C9"/>
    <w:rsid w:val="009C3AD6"/>
    <w:rsid w:val="009C6293"/>
    <w:rsid w:val="009C62A3"/>
    <w:rsid w:val="009C77C3"/>
    <w:rsid w:val="009D17B2"/>
    <w:rsid w:val="009D20CE"/>
    <w:rsid w:val="009D6D11"/>
    <w:rsid w:val="009F04C9"/>
    <w:rsid w:val="009F6225"/>
    <w:rsid w:val="00A06C21"/>
    <w:rsid w:val="00A07888"/>
    <w:rsid w:val="00A41B50"/>
    <w:rsid w:val="00A54972"/>
    <w:rsid w:val="00A55AF4"/>
    <w:rsid w:val="00A65571"/>
    <w:rsid w:val="00A707E2"/>
    <w:rsid w:val="00A72AE4"/>
    <w:rsid w:val="00A85312"/>
    <w:rsid w:val="00AA2FC5"/>
    <w:rsid w:val="00AA3226"/>
    <w:rsid w:val="00AA49E2"/>
    <w:rsid w:val="00AC7393"/>
    <w:rsid w:val="00AE39C8"/>
    <w:rsid w:val="00AE64C1"/>
    <w:rsid w:val="00AE799C"/>
    <w:rsid w:val="00AE7BC3"/>
    <w:rsid w:val="00B0060D"/>
    <w:rsid w:val="00B20F8C"/>
    <w:rsid w:val="00B23BCB"/>
    <w:rsid w:val="00B348B0"/>
    <w:rsid w:val="00B47AA4"/>
    <w:rsid w:val="00B51305"/>
    <w:rsid w:val="00B573F3"/>
    <w:rsid w:val="00B60BA4"/>
    <w:rsid w:val="00B70CAA"/>
    <w:rsid w:val="00B7440D"/>
    <w:rsid w:val="00B76860"/>
    <w:rsid w:val="00B91C4C"/>
    <w:rsid w:val="00B93219"/>
    <w:rsid w:val="00B957C1"/>
    <w:rsid w:val="00BB30FF"/>
    <w:rsid w:val="00BB39D8"/>
    <w:rsid w:val="00BC0333"/>
    <w:rsid w:val="00BC4311"/>
    <w:rsid w:val="00BD13DF"/>
    <w:rsid w:val="00BD206B"/>
    <w:rsid w:val="00BE3B0D"/>
    <w:rsid w:val="00BF0DED"/>
    <w:rsid w:val="00C01739"/>
    <w:rsid w:val="00C14622"/>
    <w:rsid w:val="00C37659"/>
    <w:rsid w:val="00C42ABC"/>
    <w:rsid w:val="00C47D94"/>
    <w:rsid w:val="00C63185"/>
    <w:rsid w:val="00C71D3E"/>
    <w:rsid w:val="00C975B9"/>
    <w:rsid w:val="00CA049E"/>
    <w:rsid w:val="00CA1315"/>
    <w:rsid w:val="00CF50E1"/>
    <w:rsid w:val="00CF752F"/>
    <w:rsid w:val="00D603BA"/>
    <w:rsid w:val="00D77CA7"/>
    <w:rsid w:val="00D8192C"/>
    <w:rsid w:val="00D87B14"/>
    <w:rsid w:val="00DA3845"/>
    <w:rsid w:val="00DB410B"/>
    <w:rsid w:val="00DC05F9"/>
    <w:rsid w:val="00DC2BCB"/>
    <w:rsid w:val="00DC3BB2"/>
    <w:rsid w:val="00DC54DC"/>
    <w:rsid w:val="00DC6AAF"/>
    <w:rsid w:val="00DD4C6E"/>
    <w:rsid w:val="00DE1D39"/>
    <w:rsid w:val="00DE4EF3"/>
    <w:rsid w:val="00DE6A84"/>
    <w:rsid w:val="00DE7330"/>
    <w:rsid w:val="00DF36C0"/>
    <w:rsid w:val="00DF7BA7"/>
    <w:rsid w:val="00E02182"/>
    <w:rsid w:val="00E35D66"/>
    <w:rsid w:val="00E475D3"/>
    <w:rsid w:val="00E767A5"/>
    <w:rsid w:val="00E82887"/>
    <w:rsid w:val="00E828B2"/>
    <w:rsid w:val="00E82942"/>
    <w:rsid w:val="00ED5E3C"/>
    <w:rsid w:val="00ED68C6"/>
    <w:rsid w:val="00EE35C4"/>
    <w:rsid w:val="00EF6110"/>
    <w:rsid w:val="00EF6393"/>
    <w:rsid w:val="00F027FB"/>
    <w:rsid w:val="00F12B41"/>
    <w:rsid w:val="00F13F9B"/>
    <w:rsid w:val="00F1722B"/>
    <w:rsid w:val="00F172AD"/>
    <w:rsid w:val="00F33B77"/>
    <w:rsid w:val="00F4477A"/>
    <w:rsid w:val="00F46B9A"/>
    <w:rsid w:val="00F47F91"/>
    <w:rsid w:val="00F569BC"/>
    <w:rsid w:val="00F65175"/>
    <w:rsid w:val="00F827AF"/>
    <w:rsid w:val="00F95CB0"/>
    <w:rsid w:val="00FC181B"/>
    <w:rsid w:val="00FF6602"/>
    <w:rsid w:val="011B0745"/>
    <w:rsid w:val="012B3E6F"/>
    <w:rsid w:val="0135137F"/>
    <w:rsid w:val="01AC7ACE"/>
    <w:rsid w:val="01F13802"/>
    <w:rsid w:val="021C0820"/>
    <w:rsid w:val="02354A10"/>
    <w:rsid w:val="0291016E"/>
    <w:rsid w:val="02A03FE0"/>
    <w:rsid w:val="02B043C5"/>
    <w:rsid w:val="02DB675D"/>
    <w:rsid w:val="02F853F7"/>
    <w:rsid w:val="030A5EB4"/>
    <w:rsid w:val="030E6210"/>
    <w:rsid w:val="033B7300"/>
    <w:rsid w:val="034F6DE4"/>
    <w:rsid w:val="03657396"/>
    <w:rsid w:val="038E49F5"/>
    <w:rsid w:val="03CE4EAE"/>
    <w:rsid w:val="04133956"/>
    <w:rsid w:val="041733DA"/>
    <w:rsid w:val="0451447E"/>
    <w:rsid w:val="04750178"/>
    <w:rsid w:val="049676A2"/>
    <w:rsid w:val="04B51790"/>
    <w:rsid w:val="050D65F7"/>
    <w:rsid w:val="052C238F"/>
    <w:rsid w:val="052D0A47"/>
    <w:rsid w:val="054221D9"/>
    <w:rsid w:val="05500BDA"/>
    <w:rsid w:val="05A2124A"/>
    <w:rsid w:val="05E9200E"/>
    <w:rsid w:val="06553913"/>
    <w:rsid w:val="067D3DF4"/>
    <w:rsid w:val="06A2037F"/>
    <w:rsid w:val="06B83462"/>
    <w:rsid w:val="06EE2458"/>
    <w:rsid w:val="073A362C"/>
    <w:rsid w:val="073C7668"/>
    <w:rsid w:val="07417D06"/>
    <w:rsid w:val="07421D53"/>
    <w:rsid w:val="077C3F51"/>
    <w:rsid w:val="07C66EBA"/>
    <w:rsid w:val="08463673"/>
    <w:rsid w:val="08C23BA0"/>
    <w:rsid w:val="09440A55"/>
    <w:rsid w:val="0965475F"/>
    <w:rsid w:val="09AB13AA"/>
    <w:rsid w:val="09CC7C3A"/>
    <w:rsid w:val="0A0C3723"/>
    <w:rsid w:val="0A6E7E60"/>
    <w:rsid w:val="0A827105"/>
    <w:rsid w:val="0ACE4677"/>
    <w:rsid w:val="0AFE08CD"/>
    <w:rsid w:val="0B395DBC"/>
    <w:rsid w:val="0B3F7726"/>
    <w:rsid w:val="0B41272D"/>
    <w:rsid w:val="0B4A6EAD"/>
    <w:rsid w:val="0B6F513A"/>
    <w:rsid w:val="0BF64C7C"/>
    <w:rsid w:val="0C1E558E"/>
    <w:rsid w:val="0D6851E9"/>
    <w:rsid w:val="0D6E7E4F"/>
    <w:rsid w:val="0D9303C8"/>
    <w:rsid w:val="0D957AD2"/>
    <w:rsid w:val="0DDC2091"/>
    <w:rsid w:val="0E2A3A86"/>
    <w:rsid w:val="0E3B1FBC"/>
    <w:rsid w:val="0E64709A"/>
    <w:rsid w:val="0E666BD4"/>
    <w:rsid w:val="0EC86D78"/>
    <w:rsid w:val="0EC96B65"/>
    <w:rsid w:val="0F136F00"/>
    <w:rsid w:val="0F563291"/>
    <w:rsid w:val="0F7B45D3"/>
    <w:rsid w:val="0FD24AAC"/>
    <w:rsid w:val="102A1F09"/>
    <w:rsid w:val="107514A4"/>
    <w:rsid w:val="107D7648"/>
    <w:rsid w:val="10AD5132"/>
    <w:rsid w:val="10B34669"/>
    <w:rsid w:val="112A100A"/>
    <w:rsid w:val="11451272"/>
    <w:rsid w:val="117C6213"/>
    <w:rsid w:val="1189632F"/>
    <w:rsid w:val="11D010D8"/>
    <w:rsid w:val="11F10C8B"/>
    <w:rsid w:val="11F52B0A"/>
    <w:rsid w:val="12A367ED"/>
    <w:rsid w:val="12F4307A"/>
    <w:rsid w:val="12FD668D"/>
    <w:rsid w:val="130F4CA1"/>
    <w:rsid w:val="135848B1"/>
    <w:rsid w:val="136374DB"/>
    <w:rsid w:val="1364593E"/>
    <w:rsid w:val="13EF00AD"/>
    <w:rsid w:val="14514EC6"/>
    <w:rsid w:val="14BC2880"/>
    <w:rsid w:val="150C68CB"/>
    <w:rsid w:val="15B669CC"/>
    <w:rsid w:val="15D32F45"/>
    <w:rsid w:val="16280F23"/>
    <w:rsid w:val="168F78E4"/>
    <w:rsid w:val="16BF05EE"/>
    <w:rsid w:val="16D76A65"/>
    <w:rsid w:val="16E80C72"/>
    <w:rsid w:val="16ED3252"/>
    <w:rsid w:val="170830C2"/>
    <w:rsid w:val="171B54BE"/>
    <w:rsid w:val="17451C21"/>
    <w:rsid w:val="17620A24"/>
    <w:rsid w:val="17941037"/>
    <w:rsid w:val="179C380B"/>
    <w:rsid w:val="17BA3F9F"/>
    <w:rsid w:val="17C43DD0"/>
    <w:rsid w:val="17C46391"/>
    <w:rsid w:val="17CC0594"/>
    <w:rsid w:val="18D07F81"/>
    <w:rsid w:val="18EF4BAA"/>
    <w:rsid w:val="19175919"/>
    <w:rsid w:val="192D6E10"/>
    <w:rsid w:val="198C7FDB"/>
    <w:rsid w:val="1990114D"/>
    <w:rsid w:val="19C07C84"/>
    <w:rsid w:val="19E82D37"/>
    <w:rsid w:val="1A1104E0"/>
    <w:rsid w:val="1A2A0C1A"/>
    <w:rsid w:val="1AA255DC"/>
    <w:rsid w:val="1BF42C46"/>
    <w:rsid w:val="1C0925F3"/>
    <w:rsid w:val="1C0E2F29"/>
    <w:rsid w:val="1C350E8A"/>
    <w:rsid w:val="1CB9648E"/>
    <w:rsid w:val="1CDC7C64"/>
    <w:rsid w:val="1CE123EB"/>
    <w:rsid w:val="1CF0262F"/>
    <w:rsid w:val="1CF253AD"/>
    <w:rsid w:val="1D0645D2"/>
    <w:rsid w:val="1D0A6375"/>
    <w:rsid w:val="1D50131F"/>
    <w:rsid w:val="1D655B01"/>
    <w:rsid w:val="1D7414B2"/>
    <w:rsid w:val="1D980D85"/>
    <w:rsid w:val="1DE06B47"/>
    <w:rsid w:val="1F0F6E11"/>
    <w:rsid w:val="1F552C1D"/>
    <w:rsid w:val="1F9E31CF"/>
    <w:rsid w:val="1FD24131"/>
    <w:rsid w:val="1FE05253"/>
    <w:rsid w:val="206F7D0E"/>
    <w:rsid w:val="20D274FA"/>
    <w:rsid w:val="21086CE7"/>
    <w:rsid w:val="212B59D1"/>
    <w:rsid w:val="216527CD"/>
    <w:rsid w:val="216B4B81"/>
    <w:rsid w:val="2186485F"/>
    <w:rsid w:val="218A1663"/>
    <w:rsid w:val="22125BAD"/>
    <w:rsid w:val="228134DC"/>
    <w:rsid w:val="22D8603F"/>
    <w:rsid w:val="233A4C8A"/>
    <w:rsid w:val="23BC1987"/>
    <w:rsid w:val="23D5127B"/>
    <w:rsid w:val="24174945"/>
    <w:rsid w:val="248E2B34"/>
    <w:rsid w:val="24F37160"/>
    <w:rsid w:val="254479BB"/>
    <w:rsid w:val="25880B5B"/>
    <w:rsid w:val="25E81B5A"/>
    <w:rsid w:val="26191ACF"/>
    <w:rsid w:val="26520498"/>
    <w:rsid w:val="26775B6F"/>
    <w:rsid w:val="26DD00C8"/>
    <w:rsid w:val="270D57BC"/>
    <w:rsid w:val="27135D4E"/>
    <w:rsid w:val="275A1718"/>
    <w:rsid w:val="27914A0E"/>
    <w:rsid w:val="27A31CF0"/>
    <w:rsid w:val="28286D9C"/>
    <w:rsid w:val="28894275"/>
    <w:rsid w:val="28B86CED"/>
    <w:rsid w:val="28CF0D04"/>
    <w:rsid w:val="291122AA"/>
    <w:rsid w:val="2A235F6C"/>
    <w:rsid w:val="2A3E7927"/>
    <w:rsid w:val="2A6636FF"/>
    <w:rsid w:val="2A772583"/>
    <w:rsid w:val="2AAF7607"/>
    <w:rsid w:val="2AC22C78"/>
    <w:rsid w:val="2AF94DA4"/>
    <w:rsid w:val="2B3E4EAD"/>
    <w:rsid w:val="2B4A3C63"/>
    <w:rsid w:val="2B8E7EF4"/>
    <w:rsid w:val="2BC96E6C"/>
    <w:rsid w:val="2BD47D07"/>
    <w:rsid w:val="2C1F79A0"/>
    <w:rsid w:val="2C892BFB"/>
    <w:rsid w:val="2C893127"/>
    <w:rsid w:val="2C8C6BBA"/>
    <w:rsid w:val="2CB16362"/>
    <w:rsid w:val="2CC11EF0"/>
    <w:rsid w:val="2D1E2844"/>
    <w:rsid w:val="2D291F29"/>
    <w:rsid w:val="2D380C2C"/>
    <w:rsid w:val="2D52657E"/>
    <w:rsid w:val="2D5C4786"/>
    <w:rsid w:val="2DF94F1D"/>
    <w:rsid w:val="2E3B692C"/>
    <w:rsid w:val="2E507340"/>
    <w:rsid w:val="2E8928E3"/>
    <w:rsid w:val="2EA2700D"/>
    <w:rsid w:val="2ED93468"/>
    <w:rsid w:val="2F1A5CD7"/>
    <w:rsid w:val="2F2A50DC"/>
    <w:rsid w:val="2F3A3EF1"/>
    <w:rsid w:val="2F9837E0"/>
    <w:rsid w:val="2FEE2FF2"/>
    <w:rsid w:val="3025488D"/>
    <w:rsid w:val="30890978"/>
    <w:rsid w:val="30C776F3"/>
    <w:rsid w:val="30E57CC3"/>
    <w:rsid w:val="312C4797"/>
    <w:rsid w:val="315B2FB6"/>
    <w:rsid w:val="31611240"/>
    <w:rsid w:val="31662A68"/>
    <w:rsid w:val="317B7E20"/>
    <w:rsid w:val="3273128F"/>
    <w:rsid w:val="32A15056"/>
    <w:rsid w:val="32BC21C9"/>
    <w:rsid w:val="32CE4957"/>
    <w:rsid w:val="32F370D0"/>
    <w:rsid w:val="33154745"/>
    <w:rsid w:val="331C1F78"/>
    <w:rsid w:val="335F074B"/>
    <w:rsid w:val="336631F3"/>
    <w:rsid w:val="336A39B5"/>
    <w:rsid w:val="33C60A17"/>
    <w:rsid w:val="341515F4"/>
    <w:rsid w:val="34180991"/>
    <w:rsid w:val="341B6A2F"/>
    <w:rsid w:val="34515421"/>
    <w:rsid w:val="34711E4F"/>
    <w:rsid w:val="34B955A4"/>
    <w:rsid w:val="356C2341"/>
    <w:rsid w:val="3575596F"/>
    <w:rsid w:val="35845BB2"/>
    <w:rsid w:val="35BC5FB4"/>
    <w:rsid w:val="35D43DD4"/>
    <w:rsid w:val="36065B18"/>
    <w:rsid w:val="366A4DA8"/>
    <w:rsid w:val="36A9016B"/>
    <w:rsid w:val="36B329EC"/>
    <w:rsid w:val="36DE46DE"/>
    <w:rsid w:val="36EC0396"/>
    <w:rsid w:val="37055B47"/>
    <w:rsid w:val="370B4C6F"/>
    <w:rsid w:val="374425E4"/>
    <w:rsid w:val="37466809"/>
    <w:rsid w:val="37BD6D79"/>
    <w:rsid w:val="37CE1714"/>
    <w:rsid w:val="37DC5CA4"/>
    <w:rsid w:val="38D820B5"/>
    <w:rsid w:val="390D7003"/>
    <w:rsid w:val="39706B79"/>
    <w:rsid w:val="39E97DA8"/>
    <w:rsid w:val="3A1E0383"/>
    <w:rsid w:val="3A5D4E6A"/>
    <w:rsid w:val="3AA86906"/>
    <w:rsid w:val="3AD15836"/>
    <w:rsid w:val="3B3D2A8B"/>
    <w:rsid w:val="3B9917F3"/>
    <w:rsid w:val="3C246E37"/>
    <w:rsid w:val="3C2974B3"/>
    <w:rsid w:val="3C4F25B5"/>
    <w:rsid w:val="3C541C63"/>
    <w:rsid w:val="3CA053F4"/>
    <w:rsid w:val="3D3E3C61"/>
    <w:rsid w:val="3D5D4D3B"/>
    <w:rsid w:val="3E1E6BED"/>
    <w:rsid w:val="3E2D328B"/>
    <w:rsid w:val="3E377C66"/>
    <w:rsid w:val="3E542340"/>
    <w:rsid w:val="3E6A38AD"/>
    <w:rsid w:val="3E81549E"/>
    <w:rsid w:val="3EAC02FF"/>
    <w:rsid w:val="3EB94BB9"/>
    <w:rsid w:val="3ED670B5"/>
    <w:rsid w:val="3F185CE9"/>
    <w:rsid w:val="3F4D412F"/>
    <w:rsid w:val="3F5B5BD6"/>
    <w:rsid w:val="3F9E1F60"/>
    <w:rsid w:val="3FA550A3"/>
    <w:rsid w:val="3FF5663E"/>
    <w:rsid w:val="40102BDE"/>
    <w:rsid w:val="401F09B1"/>
    <w:rsid w:val="40B34451"/>
    <w:rsid w:val="40DB1E10"/>
    <w:rsid w:val="40E46506"/>
    <w:rsid w:val="40F9551A"/>
    <w:rsid w:val="41320BB8"/>
    <w:rsid w:val="416E7EEE"/>
    <w:rsid w:val="41DD5748"/>
    <w:rsid w:val="41E719A3"/>
    <w:rsid w:val="42134546"/>
    <w:rsid w:val="42786A9F"/>
    <w:rsid w:val="42800A16"/>
    <w:rsid w:val="42C61868"/>
    <w:rsid w:val="42D91BCA"/>
    <w:rsid w:val="42DF5749"/>
    <w:rsid w:val="42E34DC3"/>
    <w:rsid w:val="431E31BE"/>
    <w:rsid w:val="435460FF"/>
    <w:rsid w:val="436C4E7F"/>
    <w:rsid w:val="43F8371D"/>
    <w:rsid w:val="4405408E"/>
    <w:rsid w:val="44376C02"/>
    <w:rsid w:val="44514918"/>
    <w:rsid w:val="448C3DA5"/>
    <w:rsid w:val="44B57B36"/>
    <w:rsid w:val="44C304A5"/>
    <w:rsid w:val="44E33461"/>
    <w:rsid w:val="452428A8"/>
    <w:rsid w:val="4529605B"/>
    <w:rsid w:val="454B2248"/>
    <w:rsid w:val="45D97854"/>
    <w:rsid w:val="45E034DC"/>
    <w:rsid w:val="46ED1F0F"/>
    <w:rsid w:val="4732546E"/>
    <w:rsid w:val="4763003C"/>
    <w:rsid w:val="48385F96"/>
    <w:rsid w:val="48981C49"/>
    <w:rsid w:val="48BD5E62"/>
    <w:rsid w:val="49211466"/>
    <w:rsid w:val="49310D0B"/>
    <w:rsid w:val="4A4D25BF"/>
    <w:rsid w:val="4A8C6560"/>
    <w:rsid w:val="4AA01FB4"/>
    <w:rsid w:val="4AD34B5D"/>
    <w:rsid w:val="4AEB42B2"/>
    <w:rsid w:val="4B331E38"/>
    <w:rsid w:val="4B57727B"/>
    <w:rsid w:val="4B8D3325"/>
    <w:rsid w:val="4B9F32EE"/>
    <w:rsid w:val="4B9F3C86"/>
    <w:rsid w:val="4C0A4C0B"/>
    <w:rsid w:val="4C197D77"/>
    <w:rsid w:val="4C2D7ED3"/>
    <w:rsid w:val="4C2F0041"/>
    <w:rsid w:val="4C7A7C30"/>
    <w:rsid w:val="4C7B603F"/>
    <w:rsid w:val="4C8D7673"/>
    <w:rsid w:val="4C8E75EA"/>
    <w:rsid w:val="4C9C478C"/>
    <w:rsid w:val="4CB0382E"/>
    <w:rsid w:val="4CDF1BF4"/>
    <w:rsid w:val="4CE4720A"/>
    <w:rsid w:val="4D97427D"/>
    <w:rsid w:val="4E4A6BBC"/>
    <w:rsid w:val="4E4D372B"/>
    <w:rsid w:val="4EF37BDC"/>
    <w:rsid w:val="4F534F16"/>
    <w:rsid w:val="4F785076"/>
    <w:rsid w:val="4FAD7FBA"/>
    <w:rsid w:val="4FAE1D52"/>
    <w:rsid w:val="4FC46BD9"/>
    <w:rsid w:val="50371D47"/>
    <w:rsid w:val="50485D02"/>
    <w:rsid w:val="50566671"/>
    <w:rsid w:val="50AA2519"/>
    <w:rsid w:val="50BA6805"/>
    <w:rsid w:val="511E6A63"/>
    <w:rsid w:val="51403E91"/>
    <w:rsid w:val="51C33649"/>
    <w:rsid w:val="51E9516C"/>
    <w:rsid w:val="521423CE"/>
    <w:rsid w:val="521B31E0"/>
    <w:rsid w:val="526A01B2"/>
    <w:rsid w:val="527A5F1B"/>
    <w:rsid w:val="52C23E67"/>
    <w:rsid w:val="531F117A"/>
    <w:rsid w:val="534776EE"/>
    <w:rsid w:val="53B813F1"/>
    <w:rsid w:val="53FD1767"/>
    <w:rsid w:val="542E3995"/>
    <w:rsid w:val="544B4013"/>
    <w:rsid w:val="549A1B46"/>
    <w:rsid w:val="54ED50CA"/>
    <w:rsid w:val="55245321"/>
    <w:rsid w:val="559E1188"/>
    <w:rsid w:val="559F5E06"/>
    <w:rsid w:val="55DE4499"/>
    <w:rsid w:val="55F67FAE"/>
    <w:rsid w:val="55FB21BB"/>
    <w:rsid w:val="56191BDF"/>
    <w:rsid w:val="56193D7C"/>
    <w:rsid w:val="56576C9F"/>
    <w:rsid w:val="565F5230"/>
    <w:rsid w:val="567A298E"/>
    <w:rsid w:val="568D3428"/>
    <w:rsid w:val="56B31FCB"/>
    <w:rsid w:val="56DD5701"/>
    <w:rsid w:val="57184B2E"/>
    <w:rsid w:val="572E35AF"/>
    <w:rsid w:val="57340D8E"/>
    <w:rsid w:val="576C0528"/>
    <w:rsid w:val="57AF7DCD"/>
    <w:rsid w:val="57FD2352"/>
    <w:rsid w:val="58111688"/>
    <w:rsid w:val="58377D86"/>
    <w:rsid w:val="587A24F5"/>
    <w:rsid w:val="587C2C2F"/>
    <w:rsid w:val="58B8779D"/>
    <w:rsid w:val="58C6010C"/>
    <w:rsid w:val="58EB4A63"/>
    <w:rsid w:val="590242C8"/>
    <w:rsid w:val="59745DBA"/>
    <w:rsid w:val="5A247E2F"/>
    <w:rsid w:val="5A5C1E0E"/>
    <w:rsid w:val="5A6A754B"/>
    <w:rsid w:val="5A8030BA"/>
    <w:rsid w:val="5A93401E"/>
    <w:rsid w:val="5ACF4A8B"/>
    <w:rsid w:val="5AE26BE0"/>
    <w:rsid w:val="5B161530"/>
    <w:rsid w:val="5B207260"/>
    <w:rsid w:val="5B655F94"/>
    <w:rsid w:val="5B9B5880"/>
    <w:rsid w:val="5BB0022A"/>
    <w:rsid w:val="5BE70C85"/>
    <w:rsid w:val="5BEC0332"/>
    <w:rsid w:val="5BEE1B4B"/>
    <w:rsid w:val="5C9255F9"/>
    <w:rsid w:val="5C95407D"/>
    <w:rsid w:val="5CC10E10"/>
    <w:rsid w:val="5D2B49E2"/>
    <w:rsid w:val="5D317686"/>
    <w:rsid w:val="5D702C5B"/>
    <w:rsid w:val="5DA327CA"/>
    <w:rsid w:val="5DB55FB7"/>
    <w:rsid w:val="5E1831B8"/>
    <w:rsid w:val="5E1D77DE"/>
    <w:rsid w:val="5E4F3C50"/>
    <w:rsid w:val="5EBA21F4"/>
    <w:rsid w:val="5EFE6642"/>
    <w:rsid w:val="5F3244C6"/>
    <w:rsid w:val="5F392DEF"/>
    <w:rsid w:val="5F5C761F"/>
    <w:rsid w:val="5F8E562C"/>
    <w:rsid w:val="5FB10EAB"/>
    <w:rsid w:val="5FCF78A6"/>
    <w:rsid w:val="603A39FC"/>
    <w:rsid w:val="612D6AC7"/>
    <w:rsid w:val="615C00C5"/>
    <w:rsid w:val="61972B6A"/>
    <w:rsid w:val="61BD259A"/>
    <w:rsid w:val="61EC1C0D"/>
    <w:rsid w:val="6277565D"/>
    <w:rsid w:val="628350AF"/>
    <w:rsid w:val="62886432"/>
    <w:rsid w:val="62B52594"/>
    <w:rsid w:val="62DB6BE0"/>
    <w:rsid w:val="631210AD"/>
    <w:rsid w:val="6325028D"/>
    <w:rsid w:val="63451DBF"/>
    <w:rsid w:val="63A23C18"/>
    <w:rsid w:val="63BA5C48"/>
    <w:rsid w:val="63C1759D"/>
    <w:rsid w:val="63C95B50"/>
    <w:rsid w:val="63F35B2D"/>
    <w:rsid w:val="63F43D7F"/>
    <w:rsid w:val="643E1DDB"/>
    <w:rsid w:val="6450167E"/>
    <w:rsid w:val="646377BD"/>
    <w:rsid w:val="64772F17"/>
    <w:rsid w:val="64A75470"/>
    <w:rsid w:val="64AC75A1"/>
    <w:rsid w:val="64AE142B"/>
    <w:rsid w:val="64C72D9F"/>
    <w:rsid w:val="64D26788"/>
    <w:rsid w:val="651947B7"/>
    <w:rsid w:val="65A25A5D"/>
    <w:rsid w:val="65BE3800"/>
    <w:rsid w:val="65EC3F7E"/>
    <w:rsid w:val="664E4312"/>
    <w:rsid w:val="66A71EB1"/>
    <w:rsid w:val="66C739CD"/>
    <w:rsid w:val="66D62934"/>
    <w:rsid w:val="6707201B"/>
    <w:rsid w:val="67874F0A"/>
    <w:rsid w:val="67E1286C"/>
    <w:rsid w:val="685D39C4"/>
    <w:rsid w:val="68752FB5"/>
    <w:rsid w:val="68F4037D"/>
    <w:rsid w:val="693B377B"/>
    <w:rsid w:val="69402A7A"/>
    <w:rsid w:val="6994750C"/>
    <w:rsid w:val="69CC30A8"/>
    <w:rsid w:val="6AAC5C88"/>
    <w:rsid w:val="6AE461D0"/>
    <w:rsid w:val="6B112163"/>
    <w:rsid w:val="6B3D5E4A"/>
    <w:rsid w:val="6BA936A1"/>
    <w:rsid w:val="6C24000E"/>
    <w:rsid w:val="6C262F44"/>
    <w:rsid w:val="6C440E9E"/>
    <w:rsid w:val="6C701003"/>
    <w:rsid w:val="6C774A8C"/>
    <w:rsid w:val="6CB7688A"/>
    <w:rsid w:val="6D2F13C1"/>
    <w:rsid w:val="6D316EEC"/>
    <w:rsid w:val="6D45389E"/>
    <w:rsid w:val="6D8C2DD3"/>
    <w:rsid w:val="6E535DB9"/>
    <w:rsid w:val="6EAA7FEA"/>
    <w:rsid w:val="6EB011EB"/>
    <w:rsid w:val="6ED816A7"/>
    <w:rsid w:val="6F653D83"/>
    <w:rsid w:val="6F7026DB"/>
    <w:rsid w:val="6F760E03"/>
    <w:rsid w:val="6F9E4B2F"/>
    <w:rsid w:val="6FBB7E47"/>
    <w:rsid w:val="6FF3441E"/>
    <w:rsid w:val="703025E3"/>
    <w:rsid w:val="705D0EFE"/>
    <w:rsid w:val="71334D17"/>
    <w:rsid w:val="715414DE"/>
    <w:rsid w:val="715E6CDC"/>
    <w:rsid w:val="71D64AC4"/>
    <w:rsid w:val="71EE29DB"/>
    <w:rsid w:val="72111FA0"/>
    <w:rsid w:val="724578F3"/>
    <w:rsid w:val="72E70F53"/>
    <w:rsid w:val="7306587D"/>
    <w:rsid w:val="7327134F"/>
    <w:rsid w:val="739D214C"/>
    <w:rsid w:val="73B54BAD"/>
    <w:rsid w:val="73BA35F6"/>
    <w:rsid w:val="73F5094C"/>
    <w:rsid w:val="7435157E"/>
    <w:rsid w:val="745B7E8E"/>
    <w:rsid w:val="74626AE3"/>
    <w:rsid w:val="7477077E"/>
    <w:rsid w:val="748A7DE8"/>
    <w:rsid w:val="75665BB1"/>
    <w:rsid w:val="75BA7A8F"/>
    <w:rsid w:val="75D51537"/>
    <w:rsid w:val="761422CC"/>
    <w:rsid w:val="764C58E9"/>
    <w:rsid w:val="776860ED"/>
    <w:rsid w:val="77D17A83"/>
    <w:rsid w:val="77FE4D75"/>
    <w:rsid w:val="78931B32"/>
    <w:rsid w:val="789B029A"/>
    <w:rsid w:val="78AD7253"/>
    <w:rsid w:val="78F37DE9"/>
    <w:rsid w:val="792151BF"/>
    <w:rsid w:val="796B2ECF"/>
    <w:rsid w:val="79703A50"/>
    <w:rsid w:val="799A287B"/>
    <w:rsid w:val="79C444CF"/>
    <w:rsid w:val="7A723A70"/>
    <w:rsid w:val="7A991CFE"/>
    <w:rsid w:val="7AAA1CB7"/>
    <w:rsid w:val="7B010485"/>
    <w:rsid w:val="7B046266"/>
    <w:rsid w:val="7BC23097"/>
    <w:rsid w:val="7BD51B41"/>
    <w:rsid w:val="7BE13546"/>
    <w:rsid w:val="7C824B4A"/>
    <w:rsid w:val="7CDC2952"/>
    <w:rsid w:val="7D063CDB"/>
    <w:rsid w:val="7D372A36"/>
    <w:rsid w:val="7D506A81"/>
    <w:rsid w:val="7D997111"/>
    <w:rsid w:val="7D9C12B8"/>
    <w:rsid w:val="7DA22646"/>
    <w:rsid w:val="7E074AFB"/>
    <w:rsid w:val="7E0E3838"/>
    <w:rsid w:val="7E300A37"/>
    <w:rsid w:val="7E374B3D"/>
    <w:rsid w:val="7E4A2638"/>
    <w:rsid w:val="7F0B0C46"/>
    <w:rsid w:val="7F157B5F"/>
    <w:rsid w:val="7F8D64F3"/>
    <w:rsid w:val="7F91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24"/>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SimSun" w:hAnsi="SimSun"/>
      <w:kern w:val="0"/>
      <w:sz w:val="24"/>
      <w:szCs w:val="24"/>
    </w:rPr>
  </w:style>
  <w:style w:type="paragraph" w:styleId="7">
    <w:name w:val="annotation subject"/>
    <w:basedOn w:val="2"/>
    <w:next w:val="2"/>
    <w:link w:val="22"/>
    <w:semiHidden/>
    <w:unhideWhenUsed/>
    <w:qFormat/>
    <w:uiPriority w:val="99"/>
    <w:rPr>
      <w:b/>
      <w:bCs/>
    </w:rPr>
  </w:style>
  <w:style w:type="table" w:styleId="9">
    <w:name w:val="Table Grid"/>
    <w:basedOn w:val="8"/>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4461DA"/>
      <w:u w:val="none"/>
    </w:rPr>
  </w:style>
  <w:style w:type="character" w:styleId="12">
    <w:name w:val="HTML Acronym"/>
    <w:basedOn w:val="10"/>
    <w:semiHidden/>
    <w:unhideWhenUsed/>
    <w:qFormat/>
    <w:uiPriority w:val="99"/>
    <w:rPr>
      <w:caps/>
      <w:spacing w:val="10"/>
    </w:rPr>
  </w:style>
  <w:style w:type="character" w:styleId="13">
    <w:name w:val="HTML Variable"/>
    <w:basedOn w:val="10"/>
    <w:semiHidden/>
    <w:unhideWhenUsed/>
    <w:qFormat/>
    <w:uiPriority w:val="99"/>
    <w:rPr>
      <w:rFonts w:hint="default" w:ascii="monospace" w:hAnsi="monospace" w:eastAsia="monospace" w:cs="monospace"/>
      <w:i/>
      <w:sz w:val="24"/>
      <w:szCs w:val="24"/>
    </w:rPr>
  </w:style>
  <w:style w:type="character" w:styleId="14">
    <w:name w:val="Hyperlink"/>
    <w:basedOn w:val="10"/>
    <w:semiHidden/>
    <w:unhideWhenUsed/>
    <w:qFormat/>
    <w:uiPriority w:val="99"/>
    <w:rPr>
      <w:color w:val="4461DA"/>
      <w:u w:val="none"/>
    </w:rPr>
  </w:style>
  <w:style w:type="character" w:styleId="15">
    <w:name w:val="HTML Code"/>
    <w:basedOn w:val="10"/>
    <w:semiHidden/>
    <w:unhideWhenUsed/>
    <w:qFormat/>
    <w:uiPriority w:val="99"/>
    <w:rPr>
      <w:rFonts w:hint="default" w:ascii="monospace" w:hAnsi="monospace" w:eastAsia="monospace" w:cs="monospace"/>
      <w:color w:val="555555"/>
      <w:sz w:val="24"/>
      <w:szCs w:val="24"/>
    </w:rPr>
  </w:style>
  <w:style w:type="character" w:styleId="16">
    <w:name w:val="annotation reference"/>
    <w:basedOn w:val="10"/>
    <w:semiHidden/>
    <w:unhideWhenUsed/>
    <w:qFormat/>
    <w:uiPriority w:val="99"/>
    <w:rPr>
      <w:sz w:val="21"/>
      <w:szCs w:val="21"/>
    </w:rPr>
  </w:style>
  <w:style w:type="character" w:styleId="17">
    <w:name w:val="HTML Keyboard"/>
    <w:basedOn w:val="10"/>
    <w:semiHidden/>
    <w:unhideWhenUsed/>
    <w:qFormat/>
    <w:uiPriority w:val="99"/>
    <w:rPr>
      <w:rFonts w:ascii="monospace" w:hAnsi="monospace" w:eastAsia="monospace" w:cs="monospace"/>
      <w:sz w:val="24"/>
      <w:szCs w:val="24"/>
    </w:rPr>
  </w:style>
  <w:style w:type="character" w:styleId="18">
    <w:name w:val="HTML Sample"/>
    <w:basedOn w:val="10"/>
    <w:semiHidden/>
    <w:unhideWhenUsed/>
    <w:qFormat/>
    <w:uiPriority w:val="99"/>
    <w:rPr>
      <w:rFonts w:hint="default" w:ascii="monospace" w:hAnsi="monospace" w:eastAsia="monospace" w:cs="monospace"/>
      <w:sz w:val="24"/>
      <w:szCs w:val="24"/>
    </w:rPr>
  </w:style>
  <w:style w:type="character" w:customStyle="1" w:styleId="19">
    <w:name w:val="页眉 字符"/>
    <w:basedOn w:val="10"/>
    <w:link w:val="5"/>
    <w:qFormat/>
    <w:uiPriority w:val="99"/>
    <w:rPr>
      <w:sz w:val="18"/>
      <w:szCs w:val="18"/>
    </w:rPr>
  </w:style>
  <w:style w:type="character" w:customStyle="1" w:styleId="20">
    <w:name w:val="页脚 字符"/>
    <w:basedOn w:val="10"/>
    <w:link w:val="4"/>
    <w:qFormat/>
    <w:uiPriority w:val="99"/>
    <w:rPr>
      <w:sz w:val="18"/>
      <w:szCs w:val="18"/>
    </w:rPr>
  </w:style>
  <w:style w:type="character" w:customStyle="1" w:styleId="21">
    <w:name w:val="批注文字 字符"/>
    <w:basedOn w:val="10"/>
    <w:link w:val="2"/>
    <w:semiHidden/>
    <w:qFormat/>
    <w:uiPriority w:val="99"/>
  </w:style>
  <w:style w:type="character" w:customStyle="1" w:styleId="22">
    <w:name w:val="批注主题 字符"/>
    <w:basedOn w:val="21"/>
    <w:link w:val="7"/>
    <w:semiHidden/>
    <w:qFormat/>
    <w:uiPriority w:val="99"/>
    <w:rPr>
      <w:b/>
      <w:bCs/>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框文本 字符"/>
    <w:basedOn w:val="10"/>
    <w:link w:val="3"/>
    <w:semiHidden/>
    <w:qFormat/>
    <w:uiPriority w:val="99"/>
    <w:rPr>
      <w:sz w:val="18"/>
      <w:szCs w:val="18"/>
    </w:rPr>
  </w:style>
  <w:style w:type="paragraph" w:customStyle="1" w:styleId="25">
    <w:name w:val="Default"/>
    <w:unhideWhenUsed/>
    <w:qFormat/>
    <w:uiPriority w:val="99"/>
    <w:pPr>
      <w:widowControl w:val="0"/>
      <w:autoSpaceDE w:val="0"/>
      <w:autoSpaceDN w:val="0"/>
      <w:adjustRightInd w:val="0"/>
    </w:pPr>
    <w:rPr>
      <w:rFonts w:hint="eastAsia" w:ascii="SimHei" w:hAnsi="SimHei" w:eastAsia="SimHei" w:cs="Times New Roman"/>
      <w:color w:val="000000"/>
      <w:sz w:val="24"/>
      <w:lang w:val="en-US" w:eastAsia="zh-CN" w:bidi="ar-SA"/>
    </w:rPr>
  </w:style>
  <w:style w:type="character" w:customStyle="1" w:styleId="26">
    <w:name w:val="jbox-icon-error"/>
    <w:basedOn w:val="10"/>
    <w:qFormat/>
    <w:uiPriority w:val="0"/>
  </w:style>
  <w:style w:type="character" w:customStyle="1" w:styleId="27">
    <w:name w:val="jbox-icon"/>
    <w:basedOn w:val="10"/>
    <w:qFormat/>
    <w:uiPriority w:val="0"/>
  </w:style>
  <w:style w:type="character" w:customStyle="1" w:styleId="28">
    <w:name w:val="jbox-icon-info"/>
    <w:basedOn w:val="10"/>
    <w:qFormat/>
    <w:uiPriority w:val="0"/>
  </w:style>
  <w:style w:type="character" w:customStyle="1" w:styleId="29">
    <w:name w:val="jbox-icon-warning"/>
    <w:basedOn w:val="10"/>
    <w:qFormat/>
    <w:uiPriority w:val="0"/>
  </w:style>
  <w:style w:type="character" w:customStyle="1" w:styleId="30">
    <w:name w:val="emotion"/>
    <w:basedOn w:val="10"/>
    <w:qFormat/>
    <w:uiPriority w:val="0"/>
    <w:rPr>
      <w:vanish/>
      <w:sz w:val="15"/>
      <w:szCs w:val="15"/>
    </w:rPr>
  </w:style>
  <w:style w:type="character" w:customStyle="1" w:styleId="31">
    <w:name w:val="s_bg4_c11"/>
    <w:basedOn w:val="10"/>
    <w:qFormat/>
    <w:uiPriority w:val="0"/>
  </w:style>
  <w:style w:type="character" w:customStyle="1" w:styleId="32">
    <w:name w:val="s_bg4_c12"/>
    <w:basedOn w:val="10"/>
    <w:qFormat/>
    <w:uiPriority w:val="0"/>
  </w:style>
  <w:style w:type="character" w:customStyle="1" w:styleId="33">
    <w:name w:val="s_bg4_c2"/>
    <w:basedOn w:val="10"/>
    <w:qFormat/>
    <w:uiPriority w:val="0"/>
  </w:style>
  <w:style w:type="character" w:customStyle="1" w:styleId="34">
    <w:name w:val="s_bg4_c21"/>
    <w:basedOn w:val="10"/>
    <w:qFormat/>
    <w:uiPriority w:val="0"/>
  </w:style>
  <w:style w:type="character" w:customStyle="1" w:styleId="35">
    <w:name w:val="jbox-icon-loading"/>
    <w:basedOn w:val="10"/>
    <w:qFormat/>
    <w:uiPriority w:val="0"/>
  </w:style>
  <w:style w:type="character" w:customStyle="1" w:styleId="36">
    <w:name w:val="jbox-icon-none"/>
    <w:basedOn w:val="10"/>
    <w:qFormat/>
    <w:uiPriority w:val="0"/>
    <w:rPr>
      <w:vanish/>
    </w:rPr>
  </w:style>
  <w:style w:type="character" w:customStyle="1" w:styleId="37">
    <w:name w:val="jbox-icon-success"/>
    <w:basedOn w:val="10"/>
    <w:qFormat/>
    <w:uiPriority w:val="0"/>
  </w:style>
  <w:style w:type="character" w:customStyle="1" w:styleId="38">
    <w:name w:val="jbox-icon-question"/>
    <w:basedOn w:val="10"/>
    <w:qFormat/>
    <w:uiPriority w:val="0"/>
  </w:style>
  <w:style w:type="paragraph" w:customStyle="1" w:styleId="3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EE328-FC99-43DA-B44B-5E7E3F1D4E0F}">
  <ds:schemaRefs/>
</ds:datastoreItem>
</file>

<file path=docProps/app.xml><?xml version="1.0" encoding="utf-8"?>
<Properties xmlns="http://schemas.openxmlformats.org/officeDocument/2006/extended-properties" xmlns:vt="http://schemas.openxmlformats.org/officeDocument/2006/docPropsVTypes">
  <Template>Normal</Template>
  <Pages>6</Pages>
  <Words>3707</Words>
  <Characters>3968</Characters>
  <Lines>108</Lines>
  <Paragraphs>104</Paragraphs>
  <TotalTime>0</TotalTime>
  <ScaleCrop>false</ScaleCrop>
  <LinksUpToDate>false</LinksUpToDate>
  <CharactersWithSpaces>4070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2026-05-14T10:23:00Z</dcterms:created>
  <dc:creator>River Liu</dc:creator>
  <cp:lastModifiedBy>菠萝丸子</cp:lastModifiedBy>
  <cp:lastPrinted>2022-05-09T01:49:00Z</cp:lastPrinted>
  <dcterms:modified xsi:type="dcterms:W3CDTF">2026-05-15T07:25:40Z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6E4B69C101D5452BA803B713AF8DD13D_13</vt:lpwstr>
  </property>
  <property fmtid="{D5CDD505-2E9C-101B-9397-08002B2CF9AE}" pid="4" name="KSOTemplateDocerSaveRecord">
    <vt:lpwstr>eyJoZGlkIjoiMGY0YzY5MDc3ZWRhMWE1ZWU2NjFkZTg5M2E3NDYwMjkiLCJ1c2VySWQiOiI5NTk1MTE3NTMifQ==</vt:lpwstr>
  </property>
</Properties>
</file>