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BA8B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600231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凌钢股份</w:t>
      </w:r>
    </w:p>
    <w:p w14:paraId="5912E53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DDE9B3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凌源钢铁股份有限公司</w:t>
      </w:r>
    </w:p>
    <w:p w14:paraId="4C331379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5BC737BF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2026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default" w:ascii="宋体" w:hAnsi="宋体" w:eastAsia="宋体" w:cs="宋体"/>
          <w:sz w:val="20"/>
          <w:szCs w:val="20"/>
          <w:lang w:val="en-US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7F5D4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17A6052B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208A4A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5B499A4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EB061BE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4363D1BC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AB7A03E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1D773A48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51CCB0C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2F094FA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1C5CB7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3375C30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3120DE0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0B74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76D07D2">
            <w:pPr>
              <w:pStyle w:val="12"/>
              <w:spacing w:line="240" w:lineRule="auto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D5BF0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24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线上参与公司2025年度暨2026年第一季度业绩说明会的全体投资者</w:t>
            </w:r>
          </w:p>
        </w:tc>
      </w:tr>
      <w:tr w14:paraId="600A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E753BF3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736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2026年05月14日 15:00-16:00</w:t>
            </w:r>
          </w:p>
        </w:tc>
      </w:tr>
      <w:tr w14:paraId="04077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BEE8DA9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A823E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03A71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09EAB6F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E6B06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张鹏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董事、副总经理、总会计师、董事会秘书 由宇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姜作玖</w:t>
            </w:r>
          </w:p>
        </w:tc>
      </w:tr>
      <w:tr w14:paraId="21386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318C8B24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6FC6A1B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F18B94D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28B0A44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61669F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0" w:leftChars="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/>
                <w:sz w:val="20"/>
              </w:rPr>
              <w:t>.请问公司“去螺增优”战略调整对公司盈利能力有什么具体影响？未来公司在产品结构优化方面有什么规划和目标？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公司坚定实施“去螺增优”战略，提高了企业盈利能力，全年优特钢材占比69.3%，同比提升7.5个百分点，圆钢、带钢实现双增优。未来公司实施高端突破行动，打造高端优特棒带产品线，持续推进普转优、优转特，聚焦汽车、工程机械、能源等行业开发高端客户，提高销售占比</w:t>
            </w:r>
            <w:r>
              <w:rPr>
                <w:rFonts w:ascii="宋体" w:hAnsi="宋体" w:eastAsia="宋体" w:cs="宋体"/>
                <w:b w:val="0"/>
                <w:sz w:val="20"/>
              </w:rPr>
              <w:t>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2.您好，公司提出2026年计划营业收入197亿元，比上年升高25.67%，请问这一增长目标的主要支撑因素和实现路径是什么？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一是新高炉建成投产后充分释放产能效能，有效提升钢材整体销量规模，夯实营收增长基础；二是依托2#棒材产线升级改造等技改举措，持续提高优特钢产品产销占比，稳步推进产品迭代升级，加快实现产品结构高端化转型。通过产能释放与产品结构优化双向发力，推动企业营业收入稳步提升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3.公司2025年经营性现金流较上年大幅改善，请问这一改善的主要驱动因素是什么？未来能否持续转正？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现金流大幅改善主要是上年调整融资结构，应付票据解付较本年增加影响。未来以预算管理为引领，持续优化经营质效与盈利水平，同时严格坚持以收定支原则严控各项收支，强化现金流统筹管控，力争实现经营性现金流持续为正、稳步向好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4.2025年公司同比减亏，业绩改善的主要驱动力是什么？2026年能否实现扭亏为盈？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业绩改善的主要驱动力有四点，一是原燃料采购降价，成本端显著减负。二是产品结构优化，售价与行业差距收窄。三是资产减值损失、固定资产处置损失等非经事项减亏。四是存货周转加快、资金占用减少，经营性现金流大幅改善。2026年公司以全面预算管理为战略引领与经营抓手，围绕五大经营中心聚焦经营提质增效，全力提升经营质量与盈利水平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5.公司2025年财务费用同比增长幅度较大，主要原因是什么？公司有哪些降低财务费用的具体计划？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增长幅度较大主要是为满足经营活动和投资活动需求增加借款，利息支出增加；及受存款利率下调，利息收入减少综合影响。具体计划是公司将持续夯实经营基本面，全力提升盈利水平，从严管控投资规模，从源头约束有息负债扩张；持续优化融资结构、开展低成本融资压降财务费用，提升整体经营效益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6.请问公司在新技术、新产品、新市场方面有哪些突破性成果和规划？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全年研发并试制新产品123个，其中108个新产品实现销售，8个新产品符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0"/>
              </w:rPr>
              <w:t>合战略新兴产业新材料。向智能化加速。基础管理全面夯实，实现信息化“三统一”；数智应用效能彰显，主业产线智能化改造率达35%，3D岗位机器换人率达50%。新市场方面，目前开发川渝市场</w:t>
            </w:r>
            <w:r>
              <w:rPr>
                <w:rFonts w:ascii="宋体" w:hAnsi="宋体" w:eastAsia="宋体" w:cs="宋体"/>
                <w:b w:val="0"/>
                <w:sz w:val="20"/>
              </w:rPr>
              <w:t>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7.公司优特圆钢、中宽带钢等主导产品2025年产销量表现如何，市场竞争力如何体现？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公司全年优特钢材占比69.3%，同比提升7.5个百分点，圆钢、带钢实现双增优。公司推动高端个性化产品落地与试验，不断提高市场竞争力</w:t>
            </w:r>
            <w:r>
              <w:rPr>
                <w:rFonts w:ascii="宋体" w:hAnsi="宋体" w:eastAsia="宋体" w:cs="宋体"/>
                <w:b w:val="0"/>
                <w:sz w:val="20"/>
              </w:rPr>
              <w:t>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8.请问公司2026年有什么战略规划吗？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2026年为“十五五”规划开局之年，公司目前正在研究制定“十五五”发展规划，规划按照“锚定一个方向，实施双轮驱动，聚焦三化攻坚，实现四个极致，提升五种能力”发展思路，深度挖掘价值创造能力，全面培育新质生产力，增强核心功能，提升核心竞争力，建设最具竞争力的“专精特新”一流优特钢企业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9.请问公司在市值管理方面采取了哪些措施？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答:制定估值提升计划，积极响应上海证券交易所《关于开展沪市公司“提质增效重回报”专项行动公开倡议》连续三年制定“提质增效重回报”行动方案，促进公司市值的合理反映。</w:t>
            </w:r>
          </w:p>
          <w:p w14:paraId="6EE57AD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0" w:leftChars="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
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0"/>
              </w:rPr>
              <w:t>聚焦主责主业，加力提质增效，坚持集约生产，提质达效，全力拓展采购渠道，调品种、优结构、降能耗、降费用、控支出、精机构、强协同，虽未能扭转亏损状态，但已实现减亏。</w:t>
            </w:r>
          </w:p>
          <w:p w14:paraId="61E4652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0" w:leftChars="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
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0"/>
              </w:rPr>
              <w:t>股份回购精准落地，公司于2025年再次推出股份回购方案，累计回购股份2404.86万股，总额5076.37万元。控股股东增持持续加码，连续两次增持充分彰显控股股东对公司长期发展的信心，有效稳定市场情绪。持续推进股权激励计划实施，按照股权激励计划，健全长效激励机制，2025年扩大了激励对象范围。</w:t>
            </w:r>
          </w:p>
          <w:p w14:paraId="4D5E10D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0" w:leftChars="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
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0"/>
              </w:rPr>
              <w:t>投资者关系管理构建“线下调研+线上沟通”全方位互动体系，全年组织“我是股东走进上市公司”专项活动，邀请投资者深入生产厂区观摩智能化生产线，依托“董秘走出去、投资者走进来”模式，主动对接机构投资者与中小股东，通过行业研讨会、券商策略会等渠道，系统传递公司加入鞍钢集团后的协同效应、“两进一退”产品结构升级成效及现金流改善等核心价值亮点，强化市场对公司转型逻辑的认知。</w:t>
            </w:r>
          </w:p>
          <w:p w14:paraId="6B659B3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00" w:lineRule="exact"/>
              <w:ind w:left="0" w:leftChars="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
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0"/>
              </w:rPr>
              <w:t>合规治理与信息披露筑牢基础，推动新公司法改革，助力监事会退出，并结合凌钢股份实际情况，取消监事、监事会设置，并对应修订了《公司章程》《股东会议事规则》《董事会议事规则》等一系列制度严格遵循上市公司监管要求，信息披露质量持续提升，优化披露流程与内容架构，确保披露内容真实、准确、完整，保障投资者知情权连续两年披露ESG报告，2025年更名并披露可持续发展报告。</w:t>
            </w:r>
          </w:p>
        </w:tc>
      </w:tr>
      <w:tr w14:paraId="07E5D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61110D6A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F4F0FFC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8DAB0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04765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8C88AC9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B845A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0C6D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73BADE0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554DB9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2026年05月14日</w:t>
            </w:r>
          </w:p>
        </w:tc>
      </w:tr>
    </w:tbl>
    <w:p w14:paraId="11E4E3BA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1D3162B"/>
    <w:rsid w:val="04B072D4"/>
    <w:rsid w:val="05F575D4"/>
    <w:rsid w:val="064249C6"/>
    <w:rsid w:val="07084AD7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4C30D5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07E40FA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765C22"/>
    <w:rsid w:val="788C25F5"/>
    <w:rsid w:val="79F72AA9"/>
    <w:rsid w:val="7A144529"/>
    <w:rsid w:val="7DD37FAE"/>
    <w:rsid w:val="7F2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2233</Words>
  <Characters>2384</Characters>
  <Lines>2</Lines>
  <Paragraphs>1</Paragraphs>
  <TotalTime>1</TotalTime>
  <ScaleCrop>false</ScaleCrop>
  <LinksUpToDate>false</LinksUpToDate>
  <CharactersWithSpaces>2528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9u96g2n7</cp:lastModifiedBy>
  <dcterms:modified xsi:type="dcterms:W3CDTF">2026-05-14T09:11:17Z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299F0822E5C94AC2A2DB2236DF8D0730_13</vt:lpwstr>
  </property>
  <property fmtid="{D5CDD505-2E9C-101B-9397-08002B2CF9AE}" pid="4" name="KSOTemplateDocerSaveRecord">
    <vt:lpwstr>eyJoZGlkIjoiNzY5OWYxNDNhZGY3NGU0M2JiNDY0MzIxYjJhOGUyNTkiLCJ1c2VySWQiOiIxODQwMzI4Nzc3In0=</vt:lpwstr>
  </property>
</Properties>
</file>