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11DE7">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证券代码：600284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证券简称：浦东建设</w:t>
      </w:r>
    </w:p>
    <w:p w14:paraId="3F9FDA7E">
      <w:pPr>
        <w:spacing w:line="360" w:lineRule="auto"/>
        <w:jc w:val="center"/>
        <w:rPr>
          <w:rFonts w:ascii="宋体" w:hAnsi="宋体" w:eastAsia="宋体" w:cs="宋体"/>
          <w:b/>
          <w:bCs/>
          <w:sz w:val="44"/>
          <w:szCs w:val="44"/>
        </w:rPr>
      </w:pPr>
    </w:p>
    <w:p w14:paraId="7BE19047">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上海浦东建设股份有限公司</w:t>
      </w:r>
    </w:p>
    <w:p w14:paraId="5A03DCF0">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389A38BF">
      <w:pPr>
        <w:spacing w:before="51" w:after="32"/>
        <w:ind w:right="619"/>
        <w:jc w:val="right"/>
        <w:rPr>
          <w:rFonts w:hint="eastAsia" w:ascii="宋体" w:hAnsi="宋体" w:eastAsia="宋体" w:cs="宋体"/>
          <w:sz w:val="20"/>
          <w:szCs w:val="20"/>
          <w:lang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ascii="宋体" w:hAnsi="宋体" w:eastAsia="宋体" w:cs="宋体"/>
          <w:sz w:val="20"/>
          <w:szCs w:val="20"/>
        </w:rPr>
        <w:t>00</w:t>
      </w:r>
      <w:r>
        <w:rPr>
          <w:rFonts w:hint="eastAsia" w:ascii="宋体" w:hAnsi="宋体" w:eastAsia="宋体" w:cs="宋体"/>
          <w:sz w:val="20"/>
          <w:szCs w:val="20"/>
          <w:lang w:val="en-US" w:eastAsia="zh-CN"/>
        </w:rPr>
        <w:t>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4759E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64007B46">
            <w:pPr>
              <w:pStyle w:val="12"/>
              <w:spacing w:before="7"/>
              <w:rPr>
                <w:rFonts w:ascii="宋体" w:hAnsi="宋体" w:eastAsia="宋体" w:cs="宋体"/>
                <w:b/>
                <w:bCs/>
                <w:sz w:val="20"/>
                <w:szCs w:val="20"/>
              </w:rPr>
            </w:pPr>
          </w:p>
          <w:p w14:paraId="7EF6B7FF">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7C423DCE">
            <w:pPr>
              <w:pStyle w:val="12"/>
              <w:spacing w:before="7"/>
              <w:rPr>
                <w:rFonts w:ascii="宋体" w:hAnsi="宋体" w:eastAsia="宋体" w:cs="宋体"/>
                <w:sz w:val="20"/>
                <w:szCs w:val="20"/>
              </w:rPr>
            </w:pPr>
          </w:p>
          <w:p w14:paraId="6F4DE0BB">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9A9CF90">
            <w:pPr>
              <w:pStyle w:val="12"/>
              <w:spacing w:before="11"/>
              <w:rPr>
                <w:rFonts w:ascii="宋体" w:hAnsi="宋体" w:eastAsia="宋体" w:cs="宋体"/>
                <w:sz w:val="20"/>
                <w:szCs w:val="20"/>
              </w:rPr>
            </w:pPr>
          </w:p>
          <w:p w14:paraId="1D812A86">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ascii="Wingdings 2" w:hAnsi="Wingdings 2"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73F6097A">
            <w:pPr>
              <w:pStyle w:val="12"/>
              <w:spacing w:before="8"/>
              <w:rPr>
                <w:rFonts w:ascii="宋体" w:hAnsi="宋体" w:eastAsia="宋体" w:cs="宋体"/>
                <w:sz w:val="20"/>
                <w:szCs w:val="20"/>
              </w:rPr>
            </w:pPr>
          </w:p>
          <w:p w14:paraId="0E3AE431">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3C60289F">
            <w:pPr>
              <w:pStyle w:val="12"/>
              <w:spacing w:before="8"/>
              <w:rPr>
                <w:rFonts w:ascii="宋体" w:hAnsi="宋体" w:eastAsia="宋体" w:cs="宋体"/>
                <w:sz w:val="20"/>
                <w:szCs w:val="20"/>
              </w:rPr>
            </w:pPr>
          </w:p>
          <w:p w14:paraId="4739DD91">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2F249BFF">
            <w:pPr>
              <w:pStyle w:val="12"/>
              <w:spacing w:before="11"/>
              <w:rPr>
                <w:rFonts w:ascii="宋体" w:hAnsi="宋体" w:eastAsia="宋体" w:cs="宋体"/>
                <w:sz w:val="20"/>
                <w:szCs w:val="20"/>
              </w:rPr>
            </w:pPr>
          </w:p>
          <w:p w14:paraId="1A6CCB34">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771FD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32DDE4A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参与单位名称及人员姓名</w:t>
            </w:r>
          </w:p>
        </w:tc>
        <w:tc>
          <w:tcPr>
            <w:tcW w:w="5945" w:type="dxa"/>
            <w:vAlign w:val="center"/>
          </w:tcPr>
          <w:p w14:paraId="6EE60C6D">
            <w:pPr>
              <w:widowControl/>
              <w:rPr>
                <w:rFonts w:cs="宋体" w:asciiTheme="minorEastAsia" w:hAnsiTheme="minorEastAsia" w:eastAsiaTheme="minorEastAsia"/>
                <w:sz w:val="20"/>
                <w:szCs w:val="20"/>
                <w:lang w:val="en-US"/>
              </w:rPr>
            </w:pPr>
            <w:r>
              <w:rPr>
                <w:rFonts w:hint="eastAsia" w:cs="宋体" w:asciiTheme="minorEastAsia" w:hAnsiTheme="minorEastAsia" w:eastAsiaTheme="minorEastAsia"/>
                <w:sz w:val="20"/>
                <w:szCs w:val="20"/>
                <w:lang w:val="en-US"/>
              </w:rPr>
              <w:t>线上参加浦东建设</w:t>
            </w:r>
            <w:r>
              <w:rPr>
                <w:rFonts w:hint="eastAsia" w:cs="宋体" w:asciiTheme="minorEastAsia" w:hAnsiTheme="minorEastAsia" w:eastAsiaTheme="minorEastAsia"/>
                <w:sz w:val="20"/>
                <w:szCs w:val="20"/>
                <w:lang w:val="en-US" w:eastAsia="zh-CN"/>
              </w:rPr>
              <w:t>（600284）</w:t>
            </w:r>
            <w:r>
              <w:rPr>
                <w:rFonts w:ascii="宋体" w:hAnsi="宋体" w:eastAsia="宋体" w:cs="宋体"/>
                <w:color w:val="333333"/>
                <w:sz w:val="19"/>
                <w:szCs w:val="19"/>
                <w:lang w:val="en-US" w:bidi="ar"/>
              </w:rPr>
              <w:t>2025年度</w:t>
            </w:r>
            <w:r>
              <w:rPr>
                <w:rFonts w:hint="eastAsia" w:ascii="宋体" w:hAnsi="宋体" w:eastAsia="宋体" w:cs="宋体"/>
                <w:color w:val="333333"/>
                <w:sz w:val="19"/>
                <w:szCs w:val="19"/>
                <w:lang w:val="en-US" w:eastAsia="zh-CN" w:bidi="ar"/>
              </w:rPr>
              <w:t>暨2026年第一季度</w:t>
            </w:r>
            <w:r>
              <w:rPr>
                <w:rFonts w:ascii="宋体" w:hAnsi="宋体" w:eastAsia="宋体" w:cs="宋体"/>
                <w:color w:val="333333"/>
                <w:sz w:val="19"/>
                <w:szCs w:val="19"/>
                <w:lang w:val="en-US" w:bidi="ar"/>
              </w:rPr>
              <w:t>业绩说明会</w:t>
            </w:r>
            <w:r>
              <w:rPr>
                <w:rFonts w:hint="eastAsia" w:ascii="宋体" w:hAnsi="宋体" w:eastAsia="宋体" w:cs="宋体"/>
                <w:color w:val="333333"/>
                <w:sz w:val="19"/>
                <w:szCs w:val="19"/>
                <w:lang w:val="en-US" w:bidi="ar"/>
              </w:rPr>
              <w:t>的</w:t>
            </w:r>
            <w:r>
              <w:rPr>
                <w:rFonts w:hint="eastAsia" w:ascii="宋体" w:hAnsi="宋体" w:eastAsia="宋体" w:cs="宋体"/>
                <w:color w:val="333333"/>
                <w:sz w:val="19"/>
                <w:szCs w:val="19"/>
                <w:lang w:val="en-US" w:eastAsia="zh-CN" w:bidi="ar"/>
              </w:rPr>
              <w:t>全体</w:t>
            </w:r>
            <w:r>
              <w:rPr>
                <w:rFonts w:hint="eastAsia" w:ascii="宋体" w:hAnsi="宋体" w:eastAsia="宋体" w:cs="宋体"/>
                <w:color w:val="333333"/>
                <w:sz w:val="19"/>
                <w:szCs w:val="19"/>
                <w:lang w:val="en-US" w:bidi="ar"/>
              </w:rPr>
              <w:t>投资者</w:t>
            </w:r>
          </w:p>
        </w:tc>
      </w:tr>
      <w:tr w14:paraId="1695F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1031E0C">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3501E354">
            <w:pPr>
              <w:pStyle w:val="12"/>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20</w:t>
            </w:r>
            <w:r>
              <w:rPr>
                <w:rFonts w:hint="eastAsia" w:cs="宋体" w:asciiTheme="minorEastAsia" w:hAnsiTheme="minorEastAsia" w:eastAsiaTheme="minorEastAsia"/>
                <w:bCs/>
                <w:sz w:val="20"/>
                <w:szCs w:val="20"/>
                <w:lang w:val="en-US" w:eastAsia="zh-CN"/>
              </w:rPr>
              <w:t>26</w:t>
            </w:r>
            <w:r>
              <w:rPr>
                <w:rFonts w:hint="eastAsia" w:cs="宋体" w:asciiTheme="minorEastAsia" w:hAnsiTheme="minorEastAsia" w:eastAsiaTheme="minorEastAsia"/>
                <w:bCs/>
                <w:sz w:val="20"/>
                <w:szCs w:val="20"/>
              </w:rPr>
              <w:t>年</w:t>
            </w:r>
            <w:r>
              <w:rPr>
                <w:rFonts w:hint="eastAsia" w:cs="宋体" w:asciiTheme="minorEastAsia" w:hAnsiTheme="minorEastAsia" w:eastAsiaTheme="minorEastAsia"/>
                <w:bCs/>
                <w:sz w:val="20"/>
                <w:szCs w:val="20"/>
                <w:lang w:val="en-US" w:eastAsia="zh-CN"/>
              </w:rPr>
              <w:t>05</w:t>
            </w:r>
            <w:r>
              <w:rPr>
                <w:rFonts w:hint="eastAsia" w:cs="宋体" w:asciiTheme="minorEastAsia" w:hAnsiTheme="minorEastAsia" w:eastAsiaTheme="minorEastAsia"/>
                <w:bCs/>
                <w:sz w:val="20"/>
                <w:szCs w:val="20"/>
              </w:rPr>
              <w:t>月1</w:t>
            </w:r>
            <w:r>
              <w:rPr>
                <w:rFonts w:hint="eastAsia" w:cs="宋体" w:asciiTheme="minorEastAsia" w:hAnsiTheme="minorEastAsia" w:eastAsiaTheme="minorEastAsia"/>
                <w:bCs/>
                <w:sz w:val="20"/>
                <w:szCs w:val="20"/>
                <w:lang w:val="en-US" w:eastAsia="zh-CN"/>
              </w:rPr>
              <w:t>5</w:t>
            </w:r>
            <w:r>
              <w:rPr>
                <w:rFonts w:hint="eastAsia" w:cs="宋体" w:asciiTheme="minorEastAsia" w:hAnsiTheme="minorEastAsia" w:eastAsiaTheme="minorEastAsia"/>
                <w:bCs/>
                <w:sz w:val="20"/>
                <w:szCs w:val="20"/>
              </w:rPr>
              <w:t>日 15:00-16:</w:t>
            </w:r>
            <w:r>
              <w:rPr>
                <w:rFonts w:cs="宋体" w:asciiTheme="minorEastAsia" w:hAnsiTheme="minorEastAsia" w:eastAsiaTheme="minorEastAsia"/>
                <w:bCs/>
                <w:sz w:val="20"/>
                <w:szCs w:val="20"/>
              </w:rPr>
              <w:t>0</w:t>
            </w:r>
            <w:r>
              <w:rPr>
                <w:rFonts w:hint="eastAsia" w:cs="宋体" w:asciiTheme="minorEastAsia" w:hAnsiTheme="minorEastAsia" w:eastAsiaTheme="minorEastAsia"/>
                <w:bCs/>
                <w:sz w:val="20"/>
                <w:szCs w:val="20"/>
              </w:rPr>
              <w:t>0</w:t>
            </w:r>
          </w:p>
        </w:tc>
      </w:tr>
      <w:tr w14:paraId="074F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00B4835E">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C16E3DC">
            <w:pPr>
              <w:pStyle w:val="12"/>
              <w:rPr>
                <w:rFonts w:cs="宋体" w:asciiTheme="minorEastAsia" w:hAnsiTheme="minorEastAsia" w:eastAsiaTheme="minorEastAsia"/>
                <w:bCs/>
                <w:sz w:val="20"/>
                <w:szCs w:val="20"/>
              </w:rPr>
            </w:pPr>
            <w:r>
              <w:rPr>
                <w:rFonts w:cs="宋体" w:asciiTheme="minorEastAsia" w:hAnsiTheme="minorEastAsia" w:eastAsiaTheme="minorEastAsia"/>
                <w:bCs/>
                <w:sz w:val="20"/>
                <w:szCs w:val="20"/>
              </w:rPr>
              <w:t>价值在线（https://www.ir-online.cn/）网络互动</w:t>
            </w:r>
          </w:p>
        </w:tc>
      </w:tr>
      <w:tr w14:paraId="66AE3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CB8EC20">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06F12036">
            <w:pPr>
              <w:pStyle w:val="12"/>
              <w:spacing w:before="100" w:beforeAutospacing="1" w:line="360" w:lineRule="auto"/>
              <w:rPr>
                <w:rFonts w:ascii="宋体" w:hAnsi="宋体" w:eastAsia="宋体" w:cs="宋体"/>
                <w:sz w:val="20"/>
                <w:szCs w:val="20"/>
              </w:rPr>
            </w:pPr>
            <w:r>
              <w:rPr>
                <w:rFonts w:ascii="宋体" w:hAnsi="宋体" w:eastAsia="宋体" w:cs="宋体"/>
                <w:sz w:val="20"/>
                <w:szCs w:val="20"/>
              </w:rPr>
              <w:t xml:space="preserve">董事长 </w:t>
            </w:r>
            <w:r>
              <w:rPr>
                <w:rFonts w:hint="eastAsia" w:ascii="宋体" w:hAnsi="宋体" w:eastAsia="宋体" w:cs="宋体"/>
                <w:sz w:val="20"/>
                <w:szCs w:val="20"/>
                <w:lang w:val="en-US" w:eastAsia="zh-CN"/>
              </w:rPr>
              <w:t>赵炜诚</w:t>
            </w:r>
            <w:r>
              <w:rPr>
                <w:rFonts w:hint="eastAsia" w:ascii="宋体" w:hAnsi="宋体" w:eastAsia="宋体" w:cs="宋体"/>
                <w:sz w:val="20"/>
                <w:szCs w:val="20"/>
              </w:rPr>
              <w:t>先生</w:t>
            </w:r>
            <w:r>
              <w:rPr>
                <w:rFonts w:ascii="宋体" w:hAnsi="宋体" w:eastAsia="宋体" w:cs="宋体"/>
                <w:sz w:val="20"/>
                <w:szCs w:val="20"/>
              </w:rPr>
              <w:br w:type="textWrapping"/>
            </w:r>
            <w:r>
              <w:rPr>
                <w:rFonts w:ascii="宋体" w:hAnsi="宋体" w:eastAsia="宋体" w:cs="宋体"/>
                <w:sz w:val="20"/>
                <w:szCs w:val="20"/>
              </w:rPr>
              <w:t xml:space="preserve">董事、总经理 </w:t>
            </w:r>
            <w:r>
              <w:rPr>
                <w:rFonts w:hint="eastAsia" w:ascii="宋体" w:hAnsi="宋体" w:eastAsia="宋体" w:cs="宋体"/>
                <w:sz w:val="20"/>
                <w:szCs w:val="20"/>
                <w:lang w:val="en-US" w:eastAsia="zh-CN"/>
              </w:rPr>
              <w:t>黄微</w:t>
            </w:r>
            <w:r>
              <w:rPr>
                <w:rFonts w:hint="eastAsia" w:ascii="宋体" w:hAnsi="宋体" w:eastAsia="宋体" w:cs="宋体"/>
                <w:sz w:val="20"/>
                <w:szCs w:val="20"/>
              </w:rPr>
              <w:t>先生</w:t>
            </w:r>
            <w:r>
              <w:rPr>
                <w:rFonts w:ascii="宋体" w:hAnsi="宋体" w:eastAsia="宋体" w:cs="宋体"/>
                <w:sz w:val="20"/>
                <w:szCs w:val="20"/>
              </w:rPr>
              <w:br w:type="textWrapping"/>
            </w:r>
            <w:r>
              <w:rPr>
                <w:rFonts w:ascii="宋体" w:hAnsi="宋体" w:eastAsia="宋体" w:cs="宋体"/>
                <w:sz w:val="20"/>
                <w:szCs w:val="20"/>
              </w:rPr>
              <w:t xml:space="preserve">独立董事 </w:t>
            </w:r>
            <w:r>
              <w:rPr>
                <w:rFonts w:hint="eastAsia" w:ascii="宋体" w:hAnsi="宋体" w:eastAsia="宋体" w:cs="宋体"/>
                <w:sz w:val="20"/>
                <w:szCs w:val="20"/>
              </w:rPr>
              <w:t>沈斌先生</w:t>
            </w:r>
            <w:r>
              <w:rPr>
                <w:rFonts w:ascii="宋体" w:hAnsi="宋体" w:eastAsia="宋体" w:cs="宋体"/>
                <w:sz w:val="20"/>
                <w:szCs w:val="20"/>
              </w:rPr>
              <w:br w:type="textWrapping"/>
            </w:r>
            <w:r>
              <w:rPr>
                <w:rFonts w:ascii="宋体" w:hAnsi="宋体" w:eastAsia="宋体" w:cs="宋体"/>
                <w:sz w:val="20"/>
                <w:szCs w:val="20"/>
              </w:rPr>
              <w:t>财务负责人 李蕾</w:t>
            </w:r>
            <w:r>
              <w:rPr>
                <w:rFonts w:hint="eastAsia" w:ascii="宋体" w:hAnsi="宋体" w:eastAsia="宋体" w:cs="宋体"/>
                <w:sz w:val="20"/>
                <w:szCs w:val="20"/>
              </w:rPr>
              <w:t>女士</w:t>
            </w:r>
            <w:r>
              <w:rPr>
                <w:rFonts w:ascii="宋体" w:hAnsi="宋体" w:eastAsia="宋体" w:cs="宋体"/>
                <w:sz w:val="20"/>
                <w:szCs w:val="20"/>
              </w:rPr>
              <w:br w:type="textWrapping"/>
            </w:r>
            <w:r>
              <w:rPr>
                <w:rFonts w:ascii="宋体" w:hAnsi="宋体" w:eastAsia="宋体" w:cs="宋体"/>
                <w:sz w:val="20"/>
                <w:szCs w:val="20"/>
              </w:rPr>
              <w:t>董事会秘书 陈栋</w:t>
            </w:r>
            <w:r>
              <w:rPr>
                <w:rFonts w:hint="eastAsia" w:ascii="宋体" w:hAnsi="宋体" w:eastAsia="宋体" w:cs="宋体"/>
                <w:sz w:val="20"/>
                <w:szCs w:val="20"/>
              </w:rPr>
              <w:t>先生</w:t>
            </w:r>
          </w:p>
        </w:tc>
      </w:tr>
      <w:tr w14:paraId="61B4B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6C67F44E">
            <w:pPr>
              <w:pStyle w:val="12"/>
              <w:rPr>
                <w:rFonts w:ascii="宋体" w:hAnsi="宋体" w:eastAsia="宋体" w:cs="宋体"/>
                <w:b/>
                <w:bCs/>
                <w:sz w:val="20"/>
                <w:szCs w:val="20"/>
              </w:rPr>
            </w:pPr>
          </w:p>
          <w:p w14:paraId="75644198">
            <w:pPr>
              <w:pStyle w:val="12"/>
              <w:rPr>
                <w:rFonts w:ascii="宋体" w:hAnsi="宋体" w:eastAsia="宋体" w:cs="宋体"/>
                <w:b/>
                <w:bCs/>
                <w:sz w:val="20"/>
                <w:szCs w:val="20"/>
              </w:rPr>
            </w:pPr>
          </w:p>
          <w:p w14:paraId="74F494B1">
            <w:pPr>
              <w:pStyle w:val="12"/>
              <w:spacing w:before="5"/>
              <w:rPr>
                <w:rFonts w:ascii="宋体" w:hAnsi="宋体" w:eastAsia="宋体" w:cs="宋体"/>
                <w:b/>
                <w:bCs/>
                <w:sz w:val="20"/>
                <w:szCs w:val="20"/>
              </w:rPr>
            </w:pPr>
          </w:p>
          <w:p w14:paraId="00AC50A7">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3B99D5DA">
            <w:pPr>
              <w:pStyle w:val="12"/>
              <w:spacing w:before="100" w:beforeAutospacing="1" w:line="360" w:lineRule="auto"/>
              <w:rPr>
                <w:rFonts w:ascii="宋体" w:hAnsi="宋体" w:eastAsia="宋体" w:cs="宋体"/>
                <w:sz w:val="20"/>
                <w:szCs w:val="20"/>
              </w:rPr>
            </w:pPr>
            <w:r>
              <w:rPr>
                <w:rFonts w:ascii="宋体" w:hAnsi="宋体" w:eastAsia="宋体" w:cs="宋体"/>
                <w:b/>
                <w:sz w:val="20"/>
              </w:rPr>
              <w:t>1.</w:t>
            </w:r>
            <w:r>
              <w:rPr>
                <w:rFonts w:hint="eastAsia" w:ascii="宋体" w:hAnsi="宋体" w:eastAsia="宋体" w:cs="宋体"/>
                <w:b/>
                <w:sz w:val="20"/>
              </w:rPr>
              <w:t>2025年业绩情况如何？业绩明显下降的原因是什么？</w:t>
            </w:r>
            <w:r>
              <w:rPr>
                <w:rFonts w:ascii="宋体" w:hAnsi="宋体" w:eastAsia="宋体" w:cs="宋体"/>
                <w:b/>
                <w:sz w:val="20"/>
              </w:rPr>
              <w:br w:type="textWrapping"/>
            </w:r>
            <w:r>
              <w:rPr>
                <w:rFonts w:ascii="宋体" w:hAnsi="宋体" w:eastAsia="宋体" w:cs="宋体"/>
                <w:sz w:val="20"/>
              </w:rPr>
              <w:t xml:space="preserve">    </w:t>
            </w:r>
            <w:r>
              <w:rPr>
                <w:rFonts w:hint="eastAsia" w:ascii="宋体" w:hAnsi="宋体" w:eastAsia="宋体" w:cs="宋体"/>
                <w:sz w:val="20"/>
              </w:rPr>
              <w:t>尊敬的投资者，您好！公司2025年度营业收入144.55亿元，同比下降23.35%；归母净利润3.53亿元，同比下降40.48%。报告期内，公司所处行业受区域市场承压、竞争加剧等因素影响市场开拓不及预期，同时叠加施工工程工作量减少，导致2025年营业收入和利润水平与上年同期相比有所下降。针对上一年度业绩下滑情况，公司经营层高度重视，积极行动，主动应对市场变化：一是优化业务结构，顺应国家城市发展从“增量扩张”向“存量提质”转变的大趋势，关注以“城市更新”等为代表的存量市场机遇；二是持续优化资质等级建设，为进一步构建多元化资质体系，在生态环境修复、装修装饰、机电工程等市场潜力较大的细分领域做不断探索与开拓；三是坚持降本增效，在全公司范围内推行成本管控，强化集中采购管理，构建更高效、稳定、可控的供应链体系。公司将全力提升经营质效，致力于为股东创造可持续的回报。感谢您对公司的关注！</w:t>
            </w:r>
            <w:r>
              <w:rPr>
                <w:rFonts w:ascii="宋体" w:hAnsi="宋体" w:eastAsia="宋体" w:cs="宋体"/>
                <w:sz w:val="20"/>
              </w:rPr>
              <w:br w:type="textWrapping"/>
            </w:r>
            <w:r>
              <w:rPr>
                <w:rFonts w:ascii="宋体" w:hAnsi="宋体" w:eastAsia="宋体" w:cs="宋体"/>
                <w:b/>
                <w:sz w:val="20"/>
              </w:rPr>
              <w:t>2.</w:t>
            </w:r>
            <w:r>
              <w:rPr>
                <w:rFonts w:hint="eastAsia" w:ascii="宋体" w:hAnsi="宋体" w:eastAsia="宋体" w:cs="宋体"/>
                <w:b/>
                <w:sz w:val="20"/>
              </w:rPr>
              <w:t>请问目前股东人数是多少？</w:t>
            </w:r>
            <w:r>
              <w:rPr>
                <w:rFonts w:ascii="宋体" w:hAnsi="宋体" w:eastAsia="宋体" w:cs="宋体"/>
                <w:b/>
                <w:sz w:val="20"/>
              </w:rPr>
              <w:br w:type="textWrapping"/>
            </w:r>
            <w:r>
              <w:rPr>
                <w:rFonts w:ascii="宋体" w:hAnsi="宋体" w:eastAsia="宋体" w:cs="宋体"/>
                <w:sz w:val="20"/>
              </w:rPr>
              <w:t xml:space="preserve">    </w:t>
            </w:r>
            <w:r>
              <w:rPr>
                <w:rFonts w:hint="eastAsia" w:ascii="宋体" w:hAnsi="宋体" w:eastAsia="宋体" w:cs="宋体"/>
                <w:sz w:val="20"/>
              </w:rPr>
              <w:t>尊敬的投资者，您好！截至2026年3月31日，公司股东人数为45,794户。您还可以通过查阅公司《2026年第一季度报告》了解前十名股东持股的相关情况。如需查询其他时间点的股东数量，您可以携带有效身份证件及证明持有公司股份以及持股数量的书面文件至公司董事会办公室查阅，公司经核实股东身份后予以提供，敬请谅解！感谢您对公司的关注！</w:t>
            </w:r>
            <w:r>
              <w:rPr>
                <w:rFonts w:ascii="宋体" w:hAnsi="宋体" w:eastAsia="宋体" w:cs="宋体"/>
                <w:sz w:val="20"/>
              </w:rPr>
              <w:br w:type="textWrapping"/>
            </w:r>
            <w:r>
              <w:rPr>
                <w:rFonts w:ascii="宋体" w:hAnsi="宋体" w:eastAsia="宋体" w:cs="宋体"/>
                <w:b/>
                <w:sz w:val="20"/>
              </w:rPr>
              <w:t>3.</w:t>
            </w:r>
            <w:r>
              <w:rPr>
                <w:rFonts w:hint="eastAsia" w:ascii="宋体" w:hAnsi="宋体" w:eastAsia="宋体" w:cs="宋体"/>
                <w:b/>
                <w:sz w:val="20"/>
              </w:rPr>
              <w:t>公司连续多年稳定分红，后续对股东的回报还能保持吗？</w:t>
            </w:r>
            <w:r>
              <w:rPr>
                <w:rFonts w:ascii="宋体" w:hAnsi="宋体" w:eastAsia="宋体" w:cs="宋体"/>
                <w:b/>
                <w:sz w:val="20"/>
              </w:rPr>
              <w:br w:type="textWrapping"/>
            </w:r>
            <w:r>
              <w:rPr>
                <w:rFonts w:ascii="宋体" w:hAnsi="宋体" w:eastAsia="宋体" w:cs="宋体"/>
                <w:sz w:val="20"/>
              </w:rPr>
              <w:t xml:space="preserve">    </w:t>
            </w:r>
            <w:r>
              <w:rPr>
                <w:rFonts w:hint="eastAsia" w:ascii="宋体" w:hAnsi="宋体" w:eastAsia="宋体" w:cs="宋体"/>
                <w:sz w:val="20"/>
              </w:rPr>
              <w:t>尊敬的投资者，您好！公司始终坚持将股东利益放在重要位置，实施科学、持续、稳定的分红政策。后续，公司将兼顾长远发展和投资者合理回报，在符合相关法律法规及《公司章程》利润分配政策的前提下，制定新一轮股东回报规划，以保证利润分配政策的连续性与稳定性。同时，在满足公司正常生产经营资金需求的前提下，公司仍将优先考虑以现金方式分配利润。欢迎您继续关注！</w:t>
            </w:r>
            <w:r>
              <w:rPr>
                <w:rFonts w:ascii="宋体" w:hAnsi="宋体" w:eastAsia="宋体" w:cs="宋体"/>
                <w:sz w:val="20"/>
              </w:rPr>
              <w:br w:type="textWrapping"/>
            </w:r>
            <w:r>
              <w:rPr>
                <w:rFonts w:ascii="宋体" w:hAnsi="宋体" w:eastAsia="宋体" w:cs="宋体"/>
                <w:b/>
                <w:sz w:val="20"/>
              </w:rPr>
              <w:t>4.</w:t>
            </w:r>
            <w:r>
              <w:rPr>
                <w:rFonts w:hint="eastAsia" w:ascii="宋体" w:hAnsi="宋体" w:eastAsia="宋体" w:cs="宋体"/>
                <w:b/>
                <w:sz w:val="20"/>
              </w:rPr>
              <w:t>近年来国家出台了多项城市更新政策，能给贵司带来哪些新机会呢？</w:t>
            </w:r>
            <w:r>
              <w:rPr>
                <w:rFonts w:ascii="宋体" w:hAnsi="宋体" w:eastAsia="宋体" w:cs="宋体"/>
                <w:b/>
                <w:sz w:val="20"/>
              </w:rPr>
              <w:br w:type="textWrapping"/>
            </w:r>
            <w:r>
              <w:rPr>
                <w:rFonts w:ascii="宋体" w:hAnsi="宋体" w:eastAsia="宋体" w:cs="宋体"/>
                <w:sz w:val="20"/>
              </w:rPr>
              <w:t xml:space="preserve">   </w:t>
            </w:r>
            <w:r>
              <w:rPr>
                <w:rFonts w:hint="eastAsia" w:ascii="宋体" w:hAnsi="宋体" w:eastAsia="宋体" w:cs="宋体"/>
                <w:sz w:val="20"/>
              </w:rPr>
              <w:t>尊敬的投资者，您好！国家大力推进城市更新行动，这不仅是提升城市功能与品质的重要举措，也为建筑行业带来了广阔的发展空间。公司将持续关注装配式建造、BIM技术、绿色低碳施工等方面的技术应用，打造城市更新领域的技术优势和差异化竞争力；探索EPC等模式，提升综合服务能力和项目附加值；主动对接地方政府、设计院所等，构建良好的合作生态，争取更多优质项目落地；探索通过专业化改造和运营参与存量资产的价值提升，延伸产业链条。未来，公司将紧跟政策导向，持续优化资源配置，力争在城市更新领域实现新的业务机会。感谢您对公司的关注！</w:t>
            </w:r>
            <w:r>
              <w:rPr>
                <w:rFonts w:ascii="宋体" w:hAnsi="宋体" w:eastAsia="宋体" w:cs="宋体"/>
                <w:sz w:val="20"/>
              </w:rPr>
              <w:br w:type="textWrapping"/>
            </w:r>
            <w:r>
              <w:rPr>
                <w:rFonts w:ascii="宋体" w:hAnsi="宋体" w:eastAsia="宋体" w:cs="宋体"/>
                <w:b/>
                <w:sz w:val="20"/>
              </w:rPr>
              <w:t>5.</w:t>
            </w:r>
            <w:r>
              <w:rPr>
                <w:rFonts w:hint="eastAsia" w:ascii="宋体" w:hAnsi="宋体" w:eastAsia="宋体" w:cs="宋体"/>
                <w:b/>
                <w:sz w:val="20"/>
              </w:rPr>
              <w:t>公司在技术研发方面主要关注哪些领域呢？</w:t>
            </w:r>
            <w:r>
              <w:rPr>
                <w:rFonts w:ascii="宋体" w:hAnsi="宋体" w:eastAsia="宋体" w:cs="宋体"/>
                <w:b/>
                <w:sz w:val="20"/>
              </w:rPr>
              <w:br w:type="textWrapping"/>
            </w:r>
            <w:r>
              <w:rPr>
                <w:rFonts w:ascii="宋体" w:hAnsi="宋体" w:eastAsia="宋体" w:cs="宋体"/>
                <w:sz w:val="20"/>
              </w:rPr>
              <w:t xml:space="preserve">    </w:t>
            </w:r>
            <w:r>
              <w:rPr>
                <w:rFonts w:hint="eastAsia" w:ascii="宋体" w:hAnsi="宋体" w:eastAsia="宋体" w:cs="宋体"/>
                <w:sz w:val="20"/>
              </w:rPr>
              <w:t>尊敬的投资者，您好！公司始终围绕施工主业，高度重视科技投入，推动技术研发与业务发展深度融合，重点聚焦材料研发、绿色低碳、数字化转型、智能建造等方向，力争构建起有浦东建设特色的技术优势，以提高业态创新、产品创新、管理创新水平为重要任务，持续推动科技赋能，提升科技含量。感谢您对公司的关注！</w:t>
            </w:r>
            <w:r>
              <w:rPr>
                <w:rFonts w:ascii="宋体" w:hAnsi="宋体" w:eastAsia="宋体" w:cs="宋体"/>
                <w:sz w:val="20"/>
              </w:rPr>
              <w:br w:type="textWrapping"/>
            </w:r>
            <w:r>
              <w:rPr>
                <w:rFonts w:ascii="宋体" w:hAnsi="宋体" w:eastAsia="宋体" w:cs="宋体"/>
                <w:b/>
                <w:sz w:val="20"/>
              </w:rPr>
              <w:t>6.</w:t>
            </w:r>
            <w:r>
              <w:rPr>
                <w:rFonts w:hint="eastAsia" w:ascii="宋体" w:hAnsi="宋体" w:eastAsia="宋体" w:cs="宋体"/>
                <w:b/>
                <w:sz w:val="20"/>
              </w:rPr>
              <w:t>公司2025年末有息债务余额18亿元，全部为银行贷款，应付债券清零。但2026年一季报显示，公司发行了9亿元公司债26浦建01，同时归还了9亿元短期借款，有息负债总额基本持平。请问在银行贷款成本已具优势的情况下，公司为何选择重启债券融资？</w:t>
            </w:r>
            <w:r>
              <w:rPr>
                <w:rFonts w:ascii="宋体" w:hAnsi="宋体" w:eastAsia="宋体" w:cs="宋体"/>
                <w:b/>
                <w:sz w:val="20"/>
              </w:rPr>
              <w:br w:type="textWrapping"/>
            </w:r>
            <w:r>
              <w:rPr>
                <w:rFonts w:ascii="宋体" w:hAnsi="宋体" w:eastAsia="宋体" w:cs="宋体"/>
                <w:sz w:val="20"/>
              </w:rPr>
              <w:t xml:space="preserve">    </w:t>
            </w:r>
            <w:r>
              <w:rPr>
                <w:rFonts w:hint="eastAsia" w:ascii="宋体" w:hAnsi="宋体" w:eastAsia="宋体" w:cs="宋体"/>
                <w:sz w:val="20"/>
              </w:rPr>
              <w:t>尊敬的投资者，您好！具体情况说明如下：2025年末应付债券余额为零，系两期存量债券到期。“20浦建01”于2025年2月到期兑付本金9亿元，“GC浦建01”于2025年8月投资者全额回售本金10亿元。报告期末公司有息负债18亿元，全部为短期借款。2026年一季度公司发行“26浦建01”本金9亿元，票面利率低于银行流动贷款利率，同时归还短期借款9亿元。公司债替换短期</w:t>
            </w:r>
            <w:bookmarkStart w:id="0" w:name="_GoBack"/>
            <w:bookmarkEnd w:id="0"/>
            <w:r>
              <w:rPr>
                <w:rFonts w:hint="eastAsia" w:ascii="宋体" w:hAnsi="宋体" w:eastAsia="宋体" w:cs="宋体"/>
                <w:sz w:val="20"/>
              </w:rPr>
              <w:t>借款后，融资成本进一步下降，同时公司的流动性指标得到进一步的改善，符合</w:t>
            </w:r>
            <w:r>
              <w:rPr>
                <w:rFonts w:hint="eastAsia" w:ascii="宋体" w:hAnsi="宋体" w:eastAsia="宋体" w:cs="宋体"/>
                <w:sz w:val="20"/>
                <w:lang w:val="en-US" w:eastAsia="zh-CN"/>
              </w:rPr>
              <w:t>公司及公司</w:t>
            </w:r>
            <w:r>
              <w:rPr>
                <w:rFonts w:hint="eastAsia" w:ascii="宋体" w:hAnsi="宋体" w:eastAsia="宋体" w:cs="宋体"/>
                <w:sz w:val="20"/>
              </w:rPr>
              <w:t>股东利益。感谢您对公司的关注。</w:t>
            </w:r>
          </w:p>
        </w:tc>
      </w:tr>
      <w:tr w14:paraId="3E4E8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50D85873">
            <w:pPr>
              <w:pStyle w:val="12"/>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3C27F927">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113FEDDB">
            <w:pPr>
              <w:pStyle w:val="12"/>
              <w:spacing w:before="1"/>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本次活动不涉及未公开披露的重大信息。</w:t>
            </w:r>
          </w:p>
        </w:tc>
      </w:tr>
      <w:tr w14:paraId="61917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7433144">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14:paraId="032E0916">
            <w:pPr>
              <w:pStyle w:val="12"/>
              <w:spacing w:before="1"/>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无</w:t>
            </w:r>
          </w:p>
        </w:tc>
      </w:tr>
      <w:tr w14:paraId="1E9A9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4723468">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14:paraId="33904AC6">
            <w:pPr>
              <w:pStyle w:val="12"/>
              <w:spacing w:before="100" w:beforeAutospacing="1"/>
              <w:rPr>
                <w:rFonts w:ascii="宋体" w:hAnsi="宋体" w:eastAsia="宋体" w:cs="宋体"/>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6</w:t>
            </w:r>
            <w:r>
              <w:rPr>
                <w:rFonts w:ascii="宋体" w:hAnsi="宋体" w:eastAsia="宋体" w:cs="宋体"/>
                <w:sz w:val="20"/>
                <w:szCs w:val="20"/>
              </w:rPr>
              <w:t>年</w:t>
            </w:r>
            <w:r>
              <w:rPr>
                <w:rFonts w:hint="eastAsia" w:ascii="宋体" w:hAnsi="宋体" w:eastAsia="宋体" w:cs="宋体"/>
                <w:sz w:val="20"/>
                <w:szCs w:val="20"/>
                <w:lang w:val="en-US" w:eastAsia="zh-CN"/>
              </w:rPr>
              <w:t>05</w:t>
            </w:r>
            <w:r>
              <w:rPr>
                <w:rFonts w:ascii="宋体" w:hAnsi="宋体" w:eastAsia="宋体" w:cs="宋体"/>
                <w:sz w:val="20"/>
                <w:szCs w:val="20"/>
              </w:rPr>
              <w:t>月1</w:t>
            </w:r>
            <w:r>
              <w:rPr>
                <w:rFonts w:hint="eastAsia" w:ascii="宋体" w:hAnsi="宋体" w:eastAsia="宋体" w:cs="宋体"/>
                <w:sz w:val="20"/>
                <w:szCs w:val="20"/>
                <w:lang w:val="en-US" w:eastAsia="zh-CN"/>
              </w:rPr>
              <w:t>5</w:t>
            </w:r>
            <w:r>
              <w:rPr>
                <w:rFonts w:ascii="宋体" w:hAnsi="宋体" w:eastAsia="宋体" w:cs="宋体"/>
                <w:sz w:val="20"/>
                <w:szCs w:val="20"/>
              </w:rPr>
              <w:t>日</w:t>
            </w:r>
          </w:p>
        </w:tc>
      </w:tr>
    </w:tbl>
    <w:p w14:paraId="1A572896">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62BC4"/>
    <w:rsid w:val="00275CB6"/>
    <w:rsid w:val="002800B5"/>
    <w:rsid w:val="00295B29"/>
    <w:rsid w:val="002D4073"/>
    <w:rsid w:val="002E7098"/>
    <w:rsid w:val="00301D32"/>
    <w:rsid w:val="00366FAD"/>
    <w:rsid w:val="0037105B"/>
    <w:rsid w:val="00392208"/>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10F96"/>
    <w:rsid w:val="00853463"/>
    <w:rsid w:val="00893F25"/>
    <w:rsid w:val="00895035"/>
    <w:rsid w:val="008B2B14"/>
    <w:rsid w:val="008C6AED"/>
    <w:rsid w:val="008C7604"/>
    <w:rsid w:val="008E1B27"/>
    <w:rsid w:val="00903379"/>
    <w:rsid w:val="00906975"/>
    <w:rsid w:val="00917F0B"/>
    <w:rsid w:val="00917F8B"/>
    <w:rsid w:val="00936954"/>
    <w:rsid w:val="00960964"/>
    <w:rsid w:val="00965E4D"/>
    <w:rsid w:val="009B1D5C"/>
    <w:rsid w:val="009C2E31"/>
    <w:rsid w:val="009E1955"/>
    <w:rsid w:val="00A527AA"/>
    <w:rsid w:val="00A5684D"/>
    <w:rsid w:val="00A75C61"/>
    <w:rsid w:val="00A9601B"/>
    <w:rsid w:val="00AD100E"/>
    <w:rsid w:val="00AE1E36"/>
    <w:rsid w:val="00AF74AA"/>
    <w:rsid w:val="00B03C2F"/>
    <w:rsid w:val="00B0533F"/>
    <w:rsid w:val="00B15064"/>
    <w:rsid w:val="00B340A3"/>
    <w:rsid w:val="00B410F5"/>
    <w:rsid w:val="00B6280C"/>
    <w:rsid w:val="00B671A4"/>
    <w:rsid w:val="00B72CD4"/>
    <w:rsid w:val="00B85B00"/>
    <w:rsid w:val="00BF132F"/>
    <w:rsid w:val="00C13878"/>
    <w:rsid w:val="00C56E5C"/>
    <w:rsid w:val="00CA1705"/>
    <w:rsid w:val="00CE1A54"/>
    <w:rsid w:val="00CE6172"/>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EF4A33"/>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8F3A61"/>
    <w:rsid w:val="33DE31BB"/>
    <w:rsid w:val="389C49C0"/>
    <w:rsid w:val="39BC78F4"/>
    <w:rsid w:val="3B35486F"/>
    <w:rsid w:val="3CD835CA"/>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FF313B0"/>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89BF-28EA-46C6-AA20-52180A3E8C0A}">
  <ds:schemaRefs/>
</ds:datastoreItem>
</file>

<file path=docProps/app.xml><?xml version="1.0" encoding="utf-8"?>
<Properties xmlns="http://schemas.openxmlformats.org/officeDocument/2006/extended-properties" xmlns:vt="http://schemas.openxmlformats.org/officeDocument/2006/docPropsVTypes">
  <Template>Normal</Template>
  <Pages>3</Pages>
  <Words>1819</Words>
  <Characters>1965</Characters>
  <Lines>10</Lines>
  <Paragraphs>3</Paragraphs>
  <TotalTime>37</TotalTime>
  <ScaleCrop>false</ScaleCrop>
  <LinksUpToDate>false</LinksUpToDate>
  <CharactersWithSpaces>2044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丁岳尊</cp:lastModifiedBy>
  <dcterms:modified xsi:type="dcterms:W3CDTF">2026-05-18T07:09:22Z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57D148DF2F764966BF4E1C38A6255FA2</vt:lpwstr>
  </property>
  <property fmtid="{D5CDD505-2E9C-101B-9397-08002B2CF9AE}" pid="4" name="KSOTemplateDocerSaveRecord">
    <vt:lpwstr>eyJoZGlkIjoiYzVjMjJkNzNmNTVmNGIyYjM5MDYyMDRhNjQzNjZmOTgiLCJ1c2VySWQiOiIxNTQ2MDM0MjM0In0=</vt:lpwstr>
  </property>
</Properties>
</file>