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E24D" w14:textId="77777777" w:rsidR="00FC0271" w:rsidRDefault="00642FD4">
      <w:pPr>
        <w:pStyle w:val="1"/>
        <w:rPr>
          <w:rFonts w:ascii="宋体" w:eastAsia="宋体" w:hAnsi="宋体" w:cs="宋体"/>
          <w:sz w:val="20"/>
          <w:szCs w:val="20"/>
          <w:lang w:val="en-US"/>
        </w:rPr>
      </w:pPr>
      <w:r>
        <w:rPr>
          <w:rFonts w:ascii="宋体" w:eastAsia="宋体" w:hAnsi="宋体" w:cs="宋体" w:hint="eastAsia"/>
          <w:sz w:val="20"/>
          <w:szCs w:val="20"/>
          <w:lang w:val="en-US"/>
        </w:rPr>
        <w:t>证券代码：600143                                                 证券简称：金发科技</w:t>
      </w:r>
    </w:p>
    <w:p w14:paraId="6CE189DF" w14:textId="77777777" w:rsidR="00FC0271" w:rsidRDefault="00FC0271">
      <w:pPr>
        <w:spacing w:line="360" w:lineRule="auto"/>
        <w:jc w:val="center"/>
        <w:rPr>
          <w:rFonts w:ascii="宋体" w:eastAsia="宋体" w:hAnsi="宋体" w:cs="宋体"/>
          <w:b/>
          <w:bCs/>
          <w:sz w:val="44"/>
          <w:szCs w:val="44"/>
        </w:rPr>
      </w:pPr>
    </w:p>
    <w:p w14:paraId="2373316A" w14:textId="77777777" w:rsidR="00FC0271" w:rsidRDefault="00642FD4">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金发科技股份有限公司</w:t>
      </w:r>
    </w:p>
    <w:p w14:paraId="153B7DA9" w14:textId="77777777" w:rsidR="00FC0271" w:rsidRDefault="00642FD4">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8C11F3" w14:textId="77777777" w:rsidR="00FC0271" w:rsidRDefault="00642FD4">
      <w:pPr>
        <w:spacing w:before="120" w:after="32"/>
        <w:ind w:right="619"/>
        <w:jc w:val="right"/>
        <w:rPr>
          <w:rFonts w:ascii="Times New Roman" w:eastAsia="宋体" w:hAnsi="Times New Roman" w:cs="Times New Roman"/>
          <w:sz w:val="20"/>
          <w:szCs w:val="20"/>
        </w:rPr>
      </w:pPr>
      <w:r>
        <w:rPr>
          <w:rFonts w:ascii="Times New Roman" w:eastAsia="宋体" w:hAnsi="Times New Roman" w:cs="Times New Roman"/>
          <w:sz w:val="20"/>
          <w:szCs w:val="20"/>
        </w:rPr>
        <w:t>编号：</w:t>
      </w:r>
      <w:r>
        <w:rPr>
          <w:rFonts w:ascii="Times New Roman" w:eastAsia="宋体" w:hAnsi="Times New Roman" w:cs="Times New Roman"/>
          <w:sz w:val="20"/>
          <w:szCs w:val="20"/>
          <w:lang w:val="en-US"/>
        </w:rPr>
        <w:t>2026</w:t>
      </w:r>
      <w:r>
        <w:rPr>
          <w:rFonts w:ascii="Times New Roman" w:eastAsia="宋体" w:hAnsi="Times New Roman" w:cs="Times New Roman"/>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FC0271" w14:paraId="7664B408" w14:textId="77777777">
        <w:trPr>
          <w:trHeight w:val="2006"/>
          <w:jc w:val="center"/>
        </w:trPr>
        <w:tc>
          <w:tcPr>
            <w:tcW w:w="1555" w:type="dxa"/>
            <w:vAlign w:val="center"/>
          </w:tcPr>
          <w:p w14:paraId="217E92B6" w14:textId="77777777" w:rsidR="00FC0271" w:rsidRDefault="00642FD4" w:rsidP="00342302">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6970" w:type="dxa"/>
          </w:tcPr>
          <w:p w14:paraId="64D3A9D7" w14:textId="77777777" w:rsidR="00FC0271" w:rsidRDefault="00546C3A" w:rsidP="00342302">
            <w:pPr>
              <w:pStyle w:val="TableParagraph"/>
              <w:tabs>
                <w:tab w:val="left" w:pos="2418"/>
              </w:tabs>
              <w:spacing w:line="360" w:lineRule="auto"/>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特</w:t>
            </w:r>
            <w:r w:rsidR="00642FD4">
              <w:rPr>
                <w:rFonts w:ascii="宋体" w:eastAsia="宋体" w:hAnsi="宋体" w:cs="宋体" w:hint="eastAsia"/>
                <w:spacing w:val="-3"/>
                <w:sz w:val="20"/>
                <w:szCs w:val="20"/>
              </w:rPr>
              <w:t>定</w:t>
            </w:r>
            <w:r w:rsidR="00642FD4">
              <w:rPr>
                <w:rFonts w:ascii="宋体" w:eastAsia="宋体" w:hAnsi="宋体" w:cs="宋体" w:hint="eastAsia"/>
                <w:sz w:val="20"/>
                <w:szCs w:val="20"/>
              </w:rPr>
              <w:t>对</w:t>
            </w:r>
            <w:r w:rsidR="00642FD4">
              <w:rPr>
                <w:rFonts w:ascii="宋体" w:eastAsia="宋体" w:hAnsi="宋体" w:cs="宋体" w:hint="eastAsia"/>
                <w:spacing w:val="-3"/>
                <w:sz w:val="20"/>
                <w:szCs w:val="20"/>
              </w:rPr>
              <w:t>象</w:t>
            </w:r>
            <w:r w:rsidR="00642FD4">
              <w:rPr>
                <w:rFonts w:ascii="宋体" w:eastAsia="宋体" w:hAnsi="宋体" w:cs="宋体" w:hint="eastAsia"/>
                <w:sz w:val="20"/>
                <w:szCs w:val="20"/>
              </w:rPr>
              <w:t>调研</w:t>
            </w:r>
            <w:r w:rsidR="00642FD4">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分</w:t>
            </w:r>
            <w:r w:rsidR="00642FD4">
              <w:rPr>
                <w:rFonts w:ascii="宋体" w:eastAsia="宋体" w:hAnsi="宋体" w:cs="宋体" w:hint="eastAsia"/>
                <w:spacing w:val="-3"/>
                <w:sz w:val="20"/>
                <w:szCs w:val="20"/>
              </w:rPr>
              <w:t>析</w:t>
            </w:r>
            <w:r w:rsidR="00642FD4">
              <w:rPr>
                <w:rFonts w:ascii="宋体" w:eastAsia="宋体" w:hAnsi="宋体" w:cs="宋体" w:hint="eastAsia"/>
                <w:sz w:val="20"/>
                <w:szCs w:val="20"/>
              </w:rPr>
              <w:t>师</w:t>
            </w:r>
            <w:r w:rsidR="00642FD4">
              <w:rPr>
                <w:rFonts w:ascii="宋体" w:eastAsia="宋体" w:hAnsi="宋体" w:cs="宋体" w:hint="eastAsia"/>
                <w:spacing w:val="-3"/>
                <w:sz w:val="20"/>
                <w:szCs w:val="20"/>
              </w:rPr>
              <w:t>会</w:t>
            </w:r>
            <w:r w:rsidR="00642FD4">
              <w:rPr>
                <w:rFonts w:ascii="宋体" w:eastAsia="宋体" w:hAnsi="宋体" w:cs="宋体" w:hint="eastAsia"/>
                <w:sz w:val="20"/>
                <w:szCs w:val="20"/>
              </w:rPr>
              <w:t>议</w:t>
            </w:r>
          </w:p>
          <w:p w14:paraId="32B434F0" w14:textId="77777777" w:rsidR="00FC0271" w:rsidRDefault="00546C3A" w:rsidP="00342302">
            <w:pPr>
              <w:pStyle w:val="TableParagraph"/>
              <w:tabs>
                <w:tab w:val="left" w:pos="2418"/>
              </w:tabs>
              <w:spacing w:line="360" w:lineRule="auto"/>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媒</w:t>
            </w:r>
            <w:r w:rsidR="00642FD4">
              <w:rPr>
                <w:rFonts w:ascii="宋体" w:eastAsia="宋体" w:hAnsi="宋体" w:cs="宋体" w:hint="eastAsia"/>
                <w:spacing w:val="-3"/>
                <w:sz w:val="20"/>
                <w:szCs w:val="20"/>
              </w:rPr>
              <w:t>体</w:t>
            </w:r>
            <w:r w:rsidR="00642FD4">
              <w:rPr>
                <w:rFonts w:ascii="宋体" w:eastAsia="宋体" w:hAnsi="宋体" w:cs="宋体" w:hint="eastAsia"/>
                <w:sz w:val="20"/>
                <w:szCs w:val="20"/>
              </w:rPr>
              <w:t>采访</w:t>
            </w:r>
            <w:r w:rsidR="00642FD4">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642FD4">
                  <w:rPr>
                    <w:rFonts w:ascii="Wingdings 2" w:eastAsia="MS Gothic" w:hAnsi="Wingdings 2" w:cs="宋体"/>
                    <w:sz w:val="20"/>
                    <w:szCs w:val="20"/>
                  </w:rPr>
                  <w:t></w:t>
                </w:r>
              </w:sdtContent>
            </w:sdt>
            <w:r w:rsidR="00642FD4">
              <w:rPr>
                <w:rFonts w:ascii="宋体" w:eastAsia="宋体" w:hAnsi="宋体" w:cs="宋体" w:hint="eastAsia"/>
                <w:sz w:val="20"/>
                <w:szCs w:val="20"/>
              </w:rPr>
              <w:t>业</w:t>
            </w:r>
            <w:r w:rsidR="00642FD4">
              <w:rPr>
                <w:rFonts w:ascii="宋体" w:eastAsia="宋体" w:hAnsi="宋体" w:cs="宋体" w:hint="eastAsia"/>
                <w:spacing w:val="-3"/>
                <w:sz w:val="20"/>
                <w:szCs w:val="20"/>
              </w:rPr>
              <w:t>绩</w:t>
            </w:r>
            <w:r w:rsidR="00642FD4">
              <w:rPr>
                <w:rFonts w:ascii="宋体" w:eastAsia="宋体" w:hAnsi="宋体" w:cs="宋体" w:hint="eastAsia"/>
                <w:sz w:val="20"/>
                <w:szCs w:val="20"/>
              </w:rPr>
              <w:t>说</w:t>
            </w:r>
            <w:r w:rsidR="00642FD4">
              <w:rPr>
                <w:rFonts w:ascii="宋体" w:eastAsia="宋体" w:hAnsi="宋体" w:cs="宋体" w:hint="eastAsia"/>
                <w:spacing w:val="-3"/>
                <w:sz w:val="20"/>
                <w:szCs w:val="20"/>
              </w:rPr>
              <w:t>明</w:t>
            </w:r>
            <w:r w:rsidR="00642FD4">
              <w:rPr>
                <w:rFonts w:ascii="宋体" w:eastAsia="宋体" w:hAnsi="宋体" w:cs="宋体" w:hint="eastAsia"/>
                <w:sz w:val="20"/>
                <w:szCs w:val="20"/>
              </w:rPr>
              <w:t>会</w:t>
            </w:r>
          </w:p>
          <w:p w14:paraId="5DFBDE61" w14:textId="77777777" w:rsidR="00FC0271" w:rsidRDefault="00546C3A" w:rsidP="00342302">
            <w:pPr>
              <w:pStyle w:val="TableParagraph"/>
              <w:tabs>
                <w:tab w:val="left" w:pos="2418"/>
              </w:tabs>
              <w:spacing w:line="360" w:lineRule="auto"/>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新</w:t>
            </w:r>
            <w:r w:rsidR="00642FD4">
              <w:rPr>
                <w:rFonts w:ascii="宋体" w:eastAsia="宋体" w:hAnsi="宋体" w:cs="宋体" w:hint="eastAsia"/>
                <w:spacing w:val="-3"/>
                <w:sz w:val="20"/>
                <w:szCs w:val="20"/>
              </w:rPr>
              <w:t>闻</w:t>
            </w:r>
            <w:r w:rsidR="00642FD4">
              <w:rPr>
                <w:rFonts w:ascii="宋体" w:eastAsia="宋体" w:hAnsi="宋体" w:cs="宋体" w:hint="eastAsia"/>
                <w:sz w:val="20"/>
                <w:szCs w:val="20"/>
              </w:rPr>
              <w:t>发</w:t>
            </w:r>
            <w:r w:rsidR="00642FD4">
              <w:rPr>
                <w:rFonts w:ascii="宋体" w:eastAsia="宋体" w:hAnsi="宋体" w:cs="宋体" w:hint="eastAsia"/>
                <w:spacing w:val="-3"/>
                <w:sz w:val="20"/>
                <w:szCs w:val="20"/>
              </w:rPr>
              <w:t>布</w:t>
            </w:r>
            <w:r w:rsidR="00642FD4">
              <w:rPr>
                <w:rFonts w:ascii="宋体" w:eastAsia="宋体" w:hAnsi="宋体" w:cs="宋体" w:hint="eastAsia"/>
                <w:sz w:val="20"/>
                <w:szCs w:val="20"/>
              </w:rPr>
              <w:t>会</w:t>
            </w:r>
            <w:r w:rsidR="00642FD4">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路</w:t>
            </w:r>
            <w:r w:rsidR="00642FD4">
              <w:rPr>
                <w:rFonts w:ascii="宋体" w:eastAsia="宋体" w:hAnsi="宋体" w:cs="宋体" w:hint="eastAsia"/>
                <w:spacing w:val="-3"/>
                <w:sz w:val="20"/>
                <w:szCs w:val="20"/>
              </w:rPr>
              <w:t>演</w:t>
            </w:r>
            <w:r w:rsidR="00642FD4">
              <w:rPr>
                <w:rFonts w:ascii="宋体" w:eastAsia="宋体" w:hAnsi="宋体" w:cs="宋体" w:hint="eastAsia"/>
                <w:sz w:val="20"/>
                <w:szCs w:val="20"/>
              </w:rPr>
              <w:t>活动</w:t>
            </w:r>
          </w:p>
          <w:p w14:paraId="6966BBDE" w14:textId="77777777" w:rsidR="00FC0271" w:rsidRDefault="00546C3A" w:rsidP="00342302">
            <w:pPr>
              <w:pStyle w:val="TableParagraph"/>
              <w:spacing w:line="360" w:lineRule="auto"/>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现场参观</w:t>
            </w:r>
          </w:p>
          <w:p w14:paraId="25422A7D" w14:textId="77777777" w:rsidR="00FC0271" w:rsidRDefault="00546C3A" w:rsidP="00342302">
            <w:pPr>
              <w:pStyle w:val="TableParagraph"/>
              <w:spacing w:line="360" w:lineRule="auto"/>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642FD4">
                  <w:rPr>
                    <w:rFonts w:ascii="MS Gothic" w:eastAsia="MS Gothic" w:hAnsi="MS Gothic" w:cs="宋体" w:hint="eastAsia"/>
                    <w:sz w:val="20"/>
                    <w:szCs w:val="20"/>
                  </w:rPr>
                  <w:t>☐</w:t>
                </w:r>
              </w:sdtContent>
            </w:sdt>
            <w:r w:rsidR="00642FD4">
              <w:rPr>
                <w:rFonts w:ascii="宋体" w:eastAsia="宋体" w:hAnsi="宋体" w:cs="宋体" w:hint="eastAsia"/>
                <w:sz w:val="20"/>
                <w:szCs w:val="20"/>
              </w:rPr>
              <w:t>其他（</w:t>
            </w:r>
            <w:r w:rsidR="00642FD4">
              <w:rPr>
                <w:rFonts w:ascii="宋体" w:eastAsia="宋体" w:hAnsi="宋体" w:cs="宋体" w:hint="eastAsia"/>
                <w:sz w:val="20"/>
                <w:szCs w:val="20"/>
                <w:u w:val="single"/>
              </w:rPr>
              <w:t>请文字说明其他活动内容）</w:t>
            </w:r>
          </w:p>
        </w:tc>
      </w:tr>
      <w:tr w:rsidR="00FC0271" w14:paraId="49F4308D" w14:textId="77777777">
        <w:trPr>
          <w:trHeight w:val="1120"/>
          <w:jc w:val="center"/>
        </w:trPr>
        <w:tc>
          <w:tcPr>
            <w:tcW w:w="1555" w:type="dxa"/>
            <w:vAlign w:val="center"/>
          </w:tcPr>
          <w:p w14:paraId="105B80B5" w14:textId="77777777" w:rsidR="00FC0271" w:rsidRDefault="00642FD4" w:rsidP="00342302">
            <w:pPr>
              <w:pStyle w:val="TableParagrap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6970" w:type="dxa"/>
            <w:vAlign w:val="center"/>
          </w:tcPr>
          <w:p w14:paraId="21656584" w14:textId="77777777" w:rsidR="00FC0271" w:rsidRDefault="00642FD4">
            <w:pPr>
              <w:spacing w:before="100" w:beforeAutospacing="1"/>
              <w:rPr>
                <w:rFonts w:asciiTheme="minorEastAsia" w:eastAsiaTheme="minorEastAsia" w:hAnsiTheme="minorEastAsia" w:cs="宋体"/>
                <w:sz w:val="20"/>
                <w:szCs w:val="20"/>
              </w:rPr>
            </w:pPr>
            <w:r>
              <w:rPr>
                <w:rFonts w:asciiTheme="minorEastAsia" w:eastAsiaTheme="minorEastAsia" w:hAnsiTheme="minorEastAsia" w:cstheme="minorEastAsia" w:hint="eastAsia"/>
                <w:sz w:val="20"/>
                <w:szCs w:val="20"/>
                <w:lang w:val="en-US"/>
              </w:rPr>
              <w:t>线上参与公司</w:t>
            </w:r>
            <w:r>
              <w:rPr>
                <w:rFonts w:asciiTheme="minorEastAsia" w:eastAsiaTheme="minorEastAsia" w:hAnsiTheme="minorEastAsia" w:cstheme="minorEastAsia"/>
                <w:sz w:val="20"/>
                <w:szCs w:val="20"/>
                <w:lang w:val="en-US"/>
              </w:rPr>
              <w:t>2025年度暨2026年一季度业绩说明会的投资者</w:t>
            </w:r>
          </w:p>
        </w:tc>
      </w:tr>
      <w:tr w:rsidR="00FC0271" w14:paraId="06B744E8" w14:textId="77777777">
        <w:trPr>
          <w:trHeight w:val="558"/>
          <w:jc w:val="center"/>
        </w:trPr>
        <w:tc>
          <w:tcPr>
            <w:tcW w:w="1555" w:type="dxa"/>
            <w:vAlign w:val="center"/>
          </w:tcPr>
          <w:p w14:paraId="37F76285" w14:textId="77777777" w:rsidR="00FC0271" w:rsidRDefault="00642FD4" w:rsidP="00342302">
            <w:pPr>
              <w:pStyle w:val="TableParagrap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6970" w:type="dxa"/>
            <w:vAlign w:val="center"/>
          </w:tcPr>
          <w:p w14:paraId="288B653B" w14:textId="77777777" w:rsidR="00FC0271" w:rsidRDefault="00642FD4">
            <w:pPr>
              <w:spacing w:before="100" w:beforeAutospacing="1"/>
              <w:ind w:right="96"/>
              <w:rPr>
                <w:rFonts w:asciiTheme="minorEastAsia" w:eastAsiaTheme="minorEastAsia" w:hAnsiTheme="minorEastAsia" w:cs="宋体"/>
                <w:bCs/>
                <w:sz w:val="20"/>
                <w:szCs w:val="20"/>
              </w:rPr>
            </w:pPr>
            <w:r>
              <w:rPr>
                <w:rFonts w:asciiTheme="minorEastAsia" w:eastAsiaTheme="minorEastAsia" w:hAnsiTheme="minorEastAsia" w:cs="宋体"/>
                <w:bCs/>
                <w:sz w:val="20"/>
                <w:szCs w:val="20"/>
              </w:rPr>
              <w:t>2026年5月15日 15:00-16:00</w:t>
            </w:r>
          </w:p>
        </w:tc>
      </w:tr>
      <w:tr w:rsidR="00FC0271" w14:paraId="7760077B" w14:textId="77777777">
        <w:trPr>
          <w:trHeight w:val="561"/>
          <w:jc w:val="center"/>
        </w:trPr>
        <w:tc>
          <w:tcPr>
            <w:tcW w:w="1555" w:type="dxa"/>
            <w:vAlign w:val="center"/>
          </w:tcPr>
          <w:p w14:paraId="3FDB1BCC" w14:textId="77777777" w:rsidR="00FC0271" w:rsidRDefault="00642FD4" w:rsidP="00342302">
            <w:pPr>
              <w:pStyle w:val="TableParagrap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970" w:type="dxa"/>
            <w:vAlign w:val="center"/>
          </w:tcPr>
          <w:p w14:paraId="53C63EB2" w14:textId="77777777" w:rsidR="00FC0271" w:rsidRDefault="00642FD4" w:rsidP="00342302">
            <w:pPr>
              <w:pStyle w:val="TableParagraph"/>
              <w:spacing w:before="240" w:beforeAutospacing="1"/>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w:t>
            </w:r>
            <w:r>
              <w:rPr>
                <w:rFonts w:asciiTheme="minorEastAsia" w:eastAsiaTheme="minorEastAsia" w:hAnsiTheme="minorEastAsia" w:cs="宋体" w:hint="eastAsia"/>
                <w:sz w:val="20"/>
                <w:szCs w:val="20"/>
              </w:rPr>
              <w:t>视频录播结合网络文字互动方式</w:t>
            </w:r>
          </w:p>
        </w:tc>
      </w:tr>
      <w:tr w:rsidR="00FC0271" w14:paraId="322F2468" w14:textId="77777777">
        <w:trPr>
          <w:trHeight w:val="1812"/>
          <w:jc w:val="center"/>
        </w:trPr>
        <w:tc>
          <w:tcPr>
            <w:tcW w:w="1555" w:type="dxa"/>
            <w:vAlign w:val="center"/>
          </w:tcPr>
          <w:p w14:paraId="60BD00CA" w14:textId="15B1D159" w:rsidR="00FC0271" w:rsidRDefault="00642FD4" w:rsidP="00342302">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6970" w:type="dxa"/>
            <w:vAlign w:val="center"/>
          </w:tcPr>
          <w:p w14:paraId="4F79C439" w14:textId="77777777" w:rsidR="00FC0271" w:rsidRDefault="00642FD4" w:rsidP="00342302">
            <w:pPr>
              <w:pStyle w:val="TableParagraph"/>
              <w:spacing w:line="360" w:lineRule="auto"/>
              <w:rPr>
                <w:rFonts w:ascii="宋体" w:eastAsia="宋体" w:hAnsi="宋体" w:cs="宋体"/>
                <w:sz w:val="20"/>
                <w:szCs w:val="20"/>
              </w:rPr>
            </w:pPr>
            <w:r>
              <w:rPr>
                <w:rFonts w:ascii="宋体" w:eastAsia="宋体" w:hAnsi="宋体" w:cs="宋体" w:hint="eastAsia"/>
                <w:sz w:val="20"/>
                <w:szCs w:val="20"/>
              </w:rPr>
              <w:t>董事、总经理</w:t>
            </w:r>
            <w:r>
              <w:rPr>
                <w:rFonts w:ascii="宋体" w:eastAsia="宋体" w:hAnsi="宋体" w:cs="宋体"/>
                <w:sz w:val="20"/>
                <w:szCs w:val="20"/>
              </w:rPr>
              <w:t xml:space="preserve"> 吴敌</w:t>
            </w:r>
          </w:p>
          <w:p w14:paraId="0D69AD61" w14:textId="77777777" w:rsidR="00FC0271" w:rsidRDefault="00642FD4" w:rsidP="00342302">
            <w:pPr>
              <w:pStyle w:val="TableParagraph"/>
              <w:spacing w:line="360" w:lineRule="auto"/>
              <w:rPr>
                <w:rFonts w:ascii="宋体" w:eastAsia="宋体" w:hAnsi="宋体" w:cs="宋体"/>
                <w:sz w:val="20"/>
                <w:szCs w:val="20"/>
              </w:rPr>
            </w:pPr>
            <w:r>
              <w:rPr>
                <w:rFonts w:ascii="宋体" w:eastAsia="宋体" w:hAnsi="宋体" w:cs="宋体" w:hint="eastAsia"/>
                <w:sz w:val="20"/>
                <w:szCs w:val="20"/>
              </w:rPr>
              <w:t>独立董事 张继承</w:t>
            </w:r>
          </w:p>
          <w:p w14:paraId="6CEA1294" w14:textId="77777777" w:rsidR="00FC0271" w:rsidRDefault="00642FD4" w:rsidP="00342302">
            <w:pPr>
              <w:pStyle w:val="TableParagraph"/>
              <w:spacing w:line="360" w:lineRule="auto"/>
              <w:rPr>
                <w:rFonts w:ascii="宋体" w:eastAsia="宋体" w:hAnsi="宋体" w:cs="宋体"/>
                <w:sz w:val="20"/>
                <w:szCs w:val="20"/>
              </w:rPr>
            </w:pPr>
            <w:r>
              <w:rPr>
                <w:rFonts w:ascii="宋体" w:eastAsia="宋体" w:hAnsi="宋体" w:cs="宋体" w:hint="eastAsia"/>
                <w:sz w:val="20"/>
                <w:szCs w:val="20"/>
              </w:rPr>
              <w:t>董事会秘书</w:t>
            </w:r>
            <w:r>
              <w:rPr>
                <w:rFonts w:ascii="宋体" w:eastAsia="宋体" w:hAnsi="宋体" w:cs="宋体"/>
                <w:sz w:val="20"/>
                <w:szCs w:val="20"/>
              </w:rPr>
              <w:t xml:space="preserve"> 戴耀珊</w:t>
            </w:r>
          </w:p>
          <w:p w14:paraId="764AE48E" w14:textId="77777777" w:rsidR="00FC0271" w:rsidRDefault="00642FD4" w:rsidP="00342302">
            <w:pPr>
              <w:pStyle w:val="TableParagraph"/>
              <w:spacing w:line="360" w:lineRule="auto"/>
              <w:rPr>
                <w:rFonts w:ascii="宋体" w:eastAsia="宋体" w:hAnsi="宋体" w:cs="宋体"/>
                <w:sz w:val="20"/>
                <w:szCs w:val="20"/>
              </w:rPr>
            </w:pPr>
            <w:r>
              <w:rPr>
                <w:rFonts w:ascii="宋体" w:eastAsia="宋体" w:hAnsi="宋体" w:cs="宋体"/>
                <w:sz w:val="20"/>
                <w:szCs w:val="20"/>
              </w:rPr>
              <w:t>财务总监 雷长安</w:t>
            </w:r>
          </w:p>
        </w:tc>
      </w:tr>
      <w:tr w:rsidR="00FC0271" w14:paraId="0BD723C1" w14:textId="77777777">
        <w:trPr>
          <w:trHeight w:val="561"/>
          <w:jc w:val="center"/>
        </w:trPr>
        <w:tc>
          <w:tcPr>
            <w:tcW w:w="1555" w:type="dxa"/>
            <w:vAlign w:val="center"/>
          </w:tcPr>
          <w:p w14:paraId="4DD43600" w14:textId="61B91022" w:rsidR="00FC0271" w:rsidRDefault="00642FD4" w:rsidP="00342302">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6970" w:type="dxa"/>
            <w:vAlign w:val="center"/>
          </w:tcPr>
          <w:p w14:paraId="405041B1" w14:textId="77777777" w:rsidR="00FC0271" w:rsidRDefault="00642FD4">
            <w:pPr>
              <w:pStyle w:val="TableParagraph"/>
              <w:numPr>
                <w:ilvl w:val="0"/>
                <w:numId w:val="1"/>
              </w:numPr>
              <w:spacing w:beforeLines="100" w:before="240" w:line="360" w:lineRule="auto"/>
              <w:ind w:left="0" w:firstLine="402"/>
              <w:rPr>
                <w:rFonts w:ascii="宋体" w:eastAsia="宋体" w:hAnsi="宋体" w:cs="宋体"/>
                <w:b/>
                <w:sz w:val="20"/>
              </w:rPr>
            </w:pPr>
            <w:r>
              <w:rPr>
                <w:rFonts w:ascii="宋体" w:eastAsia="宋体" w:hAnsi="宋体" w:cs="宋体" w:hint="eastAsia"/>
                <w:b/>
                <w:sz w:val="20"/>
              </w:rPr>
              <w:t>公司董事兼总经理吴敌先生以视频录播方式开场致辞。</w:t>
            </w:r>
          </w:p>
          <w:p w14:paraId="61F50096" w14:textId="77777777" w:rsidR="00FC0271" w:rsidRDefault="00642FD4">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视频解读公司</w:t>
            </w:r>
            <w:r>
              <w:rPr>
                <w:rFonts w:ascii="宋体" w:eastAsia="宋体" w:hAnsi="宋体" w:cs="宋体"/>
                <w:b/>
                <w:sz w:val="20"/>
              </w:rPr>
              <w:t>2025年</w:t>
            </w:r>
            <w:r>
              <w:rPr>
                <w:rFonts w:ascii="宋体" w:eastAsia="宋体" w:hAnsi="宋体" w:cs="宋体" w:hint="eastAsia"/>
                <w:b/>
                <w:sz w:val="20"/>
              </w:rPr>
              <w:t>年报</w:t>
            </w:r>
            <w:r>
              <w:rPr>
                <w:rFonts w:ascii="宋体" w:eastAsia="宋体" w:hAnsi="宋体" w:cs="宋体"/>
                <w:b/>
                <w:sz w:val="20"/>
              </w:rPr>
              <w:t>和2026年一季报</w:t>
            </w:r>
            <w:r>
              <w:rPr>
                <w:rFonts w:ascii="宋体" w:eastAsia="宋体" w:hAnsi="宋体" w:cs="宋体" w:hint="eastAsia"/>
                <w:b/>
                <w:sz w:val="20"/>
              </w:rPr>
              <w:t>经营情况、经营亮点、经营展望等。</w:t>
            </w:r>
          </w:p>
          <w:p w14:paraId="5C11A473" w14:textId="77777777" w:rsidR="00FC0271" w:rsidRDefault="00642FD4">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与投资者网络文字互动交流环节，主要问题及回复汇总如下：</w:t>
            </w:r>
          </w:p>
          <w:p w14:paraId="5BC22CFC"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2025年度净利润同比增长比较大，主要原因是什么？</w:t>
            </w:r>
          </w:p>
          <w:p w14:paraId="509A4B8C" w14:textId="77777777" w:rsidR="00FC0271" w:rsidRDefault="00642FD4" w:rsidP="00342302">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hint="eastAsia"/>
                <w:sz w:val="20"/>
              </w:rPr>
              <w:t>答</w:t>
            </w:r>
            <w:r>
              <w:rPr>
                <w:rFonts w:ascii="宋体" w:eastAsia="宋体" w:hAnsi="宋体" w:cs="宋体"/>
                <w:sz w:val="20"/>
              </w:rPr>
              <w:t>:公司持续优化改性塑料产品结构及加强板块协同，改性塑料在汽车、电子电工及新能源等高增长领域的市场份额稳步提升，实现销量与毛利同步增长；同时，海外业务规模持续扩大，海外市场销售快速增长。受益于国内产业链自主可控需求提升，公司特种工程塑料凭借技术优势，在高频通信及AI设备等领域加速创新应用开发，客户渗透率显著提高；生物降解塑料突破在工业级增材制造与高端食品包装等领域的应用瓶颈，市场份额快速提升。带动新材料</w:t>
            </w:r>
            <w:r>
              <w:rPr>
                <w:rFonts w:ascii="宋体" w:eastAsia="宋体" w:hAnsi="宋体" w:cs="宋体"/>
                <w:sz w:val="20"/>
              </w:rPr>
              <w:lastRenderedPageBreak/>
              <w:t>产品销量及毛利快速增长。公司绿色石化板块持续加强与改性塑料板块上下游一体化协同，有效落实技改技措，优化产品</w:t>
            </w:r>
            <w:r>
              <w:rPr>
                <w:rFonts w:ascii="宋体" w:eastAsia="宋体" w:hAnsi="宋体" w:cs="宋体" w:hint="eastAsia"/>
                <w:sz w:val="20"/>
              </w:rPr>
              <w:t>结构，产品盈利能力有所提升。</w:t>
            </w:r>
          </w:p>
          <w:p w14:paraId="48821342"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hint="eastAsia"/>
                <w:b/>
                <w:sz w:val="20"/>
              </w:rPr>
              <w:t>海外基地销量</w:t>
            </w:r>
            <w:r>
              <w:rPr>
                <w:rFonts w:ascii="宋体" w:eastAsia="宋体" w:hAnsi="宋体" w:cs="宋体"/>
                <w:b/>
                <w:sz w:val="20"/>
              </w:rPr>
              <w:t>29.75万吨，同比增长27.41%，营收42.34亿元增长35.20%，为何海外增速远高于国内？</w:t>
            </w:r>
          </w:p>
          <w:p w14:paraId="4129995A"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hint="eastAsia"/>
                <w:sz w:val="20"/>
              </w:rPr>
              <w:t>答</w:t>
            </w:r>
            <w:r>
              <w:rPr>
                <w:rFonts w:ascii="宋体" w:eastAsia="宋体" w:hAnsi="宋体" w:cs="宋体"/>
                <w:sz w:val="20"/>
              </w:rPr>
              <w:t>:当前全球产业格局重构，海外新材料市场迎来良好发展机遇。公司持续推进全球化发展战略，不断完善全球生产供应链布局，海外本土化运营能力、市场开拓能力和客户服务能力稳步提升。报告期内，美国、欧洲、印度、越南、马来西亚等基地实现量利双增，西班牙、印尼工厂顺利投入运营，波兰、墨西哥等大基地及卫星工厂建设加速推进。截至期末，公司已在全球设立20多家生产基地及研发机构，产品远销全球130多个国家和地区，凭借本地化生产交付与快速响应优势，有效抢占海外增量市场，推动海外销量与营收快速提升。</w:t>
            </w:r>
          </w:p>
          <w:p w14:paraId="7E8D0028"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hint="eastAsia"/>
                <w:b/>
                <w:sz w:val="20"/>
              </w:rPr>
              <w:t>公司打算怎么实现今年的经营业绩，</w:t>
            </w:r>
            <w:r>
              <w:rPr>
                <w:rFonts w:ascii="宋体" w:eastAsia="宋体" w:hAnsi="宋体" w:cs="宋体"/>
                <w:b/>
                <w:sz w:val="20"/>
              </w:rPr>
              <w:t>2026年的经营目标是多少？</w:t>
            </w:r>
          </w:p>
          <w:p w14:paraId="30DC61CA" w14:textId="77777777" w:rsidR="00CE1E15"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hint="eastAsia"/>
                <w:sz w:val="20"/>
              </w:rPr>
              <w:t>答</w:t>
            </w:r>
            <w:r>
              <w:rPr>
                <w:rFonts w:ascii="宋体" w:eastAsia="宋体" w:hAnsi="宋体" w:cs="宋体"/>
                <w:sz w:val="20"/>
              </w:rPr>
              <w:t>:公司始终秉持高质量发展理念，坚持既定战略方针，持续推进各业务板块稳健运营。2026年是公司新一轮五年发展规划的开局之年。公司将坚持以创新驱动为核心，围绕国际化、数智化、精细化三大战略发展方向持续深耕发力，推动公司高质量发展再上新台阶。</w:t>
            </w:r>
          </w:p>
          <w:p w14:paraId="7974C1BE" w14:textId="3320BFCD"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公司将力争2026年实现营业收入稳健增长，归属于上市公司股东的净利润（剔除公司2026年员工持股计划及2026年限制性股票激励计划在对应考核年度所产生的股份支付费用）同比增长20%以上的目标（上述目标为公司预期目标，不构成公司对投资者的业绩承诺，公司实际经营情况受多种因素影</w:t>
            </w:r>
            <w:r>
              <w:rPr>
                <w:rFonts w:ascii="宋体" w:eastAsia="宋体" w:hAnsi="宋体" w:cs="宋体" w:hint="eastAsia"/>
                <w:sz w:val="20"/>
              </w:rPr>
              <w:t>响，存在不确定性，敬请投资者注意投资风险）。</w:t>
            </w:r>
          </w:p>
          <w:p w14:paraId="706C2A32"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对于绿色石化这一块，每年毛利率都是负数。请问绿色石化板块对于公司的战略价值如何？绿色石化板块的战略诉求达成情况如何？</w:t>
            </w:r>
          </w:p>
          <w:p w14:paraId="646A8AC1" w14:textId="77777777" w:rsidR="00FC0271" w:rsidRDefault="00642FD4">
            <w:pPr>
              <w:pStyle w:val="TableParagraph"/>
              <w:wordWrap w:val="0"/>
              <w:autoSpaceDE/>
              <w:autoSpaceDN/>
              <w:spacing w:line="360" w:lineRule="auto"/>
              <w:ind w:firstLineChars="200" w:firstLine="400"/>
              <w:rPr>
                <w:rFonts w:ascii="宋体" w:eastAsia="宋体" w:hAnsi="宋体" w:cs="宋体"/>
                <w:b/>
                <w:sz w:val="20"/>
              </w:rPr>
            </w:pPr>
            <w:r>
              <w:rPr>
                <w:rFonts w:ascii="宋体" w:eastAsia="宋体" w:hAnsi="宋体" w:cs="宋体"/>
                <w:sz w:val="20"/>
              </w:rPr>
              <w:t>答:公司布局上游绿色石化板块，核心目的是保障改性塑料业务板块关键原材料稳定供应，赋能主业高质量发展。目前，投资绿色石化板块的战略诉求阶段性达成。近年来，随着ABS、PP树脂自用比例持续提升，产品配方稳定性与品质一致性进一步增强，有效筑牢公司供应链安全、夯实核心竞争壁垒。改性塑料板块销量与毛利润持续稳健增长，2025年双双创历史新高，全球龙头地位进一步巩固。当前，产业链一体化深化及绿色石化板块扭亏目标，仍在稳步推进中。</w:t>
            </w:r>
          </w:p>
          <w:p w14:paraId="162C97B3" w14:textId="0B6EB2B1" w:rsidR="00FC0271" w:rsidRDefault="00642FD4">
            <w:pPr>
              <w:pStyle w:val="TableParagraph"/>
              <w:numPr>
                <w:ilvl w:val="0"/>
                <w:numId w:val="2"/>
              </w:numPr>
              <w:wordWrap w:val="0"/>
              <w:autoSpaceDE/>
              <w:autoSpaceDN/>
              <w:spacing w:line="360" w:lineRule="auto"/>
              <w:ind w:left="0" w:firstLine="402"/>
              <w:rPr>
                <w:rFonts w:ascii="宋体" w:eastAsia="宋体" w:hAnsi="宋体" w:cs="宋体"/>
                <w:b/>
                <w:sz w:val="20"/>
              </w:rPr>
            </w:pPr>
            <w:r>
              <w:rPr>
                <w:rFonts w:ascii="宋体" w:eastAsia="宋体" w:hAnsi="宋体" w:cs="宋体"/>
                <w:b/>
                <w:sz w:val="20"/>
              </w:rPr>
              <w:t>关于绿色石化板块，宁波金发+辽宁金发净利润，2023年亏损18.8亿</w:t>
            </w:r>
            <w:r w:rsidR="00521870">
              <w:rPr>
                <w:rFonts w:ascii="宋体" w:eastAsia="宋体" w:hAnsi="宋体" w:cs="宋体" w:hint="eastAsia"/>
                <w:b/>
                <w:sz w:val="20"/>
              </w:rPr>
              <w:t>元</w:t>
            </w:r>
            <w:r>
              <w:rPr>
                <w:rFonts w:ascii="宋体" w:eastAsia="宋体" w:hAnsi="宋体" w:cs="宋体"/>
                <w:b/>
                <w:sz w:val="20"/>
              </w:rPr>
              <w:t>，2024年亏损20亿</w:t>
            </w:r>
            <w:r w:rsidR="00521870">
              <w:rPr>
                <w:rFonts w:ascii="宋体" w:eastAsia="宋体" w:hAnsi="宋体" w:cs="宋体" w:hint="eastAsia"/>
                <w:b/>
                <w:sz w:val="20"/>
              </w:rPr>
              <w:t>元</w:t>
            </w:r>
            <w:r>
              <w:rPr>
                <w:rFonts w:ascii="宋体" w:eastAsia="宋体" w:hAnsi="宋体" w:cs="宋体"/>
                <w:b/>
                <w:sz w:val="20"/>
              </w:rPr>
              <w:t>，2025年亏损22.9亿</w:t>
            </w:r>
            <w:r w:rsidR="00521870">
              <w:rPr>
                <w:rFonts w:ascii="宋体" w:eastAsia="宋体" w:hAnsi="宋体" w:cs="宋体" w:hint="eastAsia"/>
                <w:b/>
                <w:sz w:val="20"/>
              </w:rPr>
              <w:t>元</w:t>
            </w:r>
            <w:r>
              <w:rPr>
                <w:rFonts w:ascii="宋体" w:eastAsia="宋体" w:hAnsi="宋体" w:cs="宋体"/>
                <w:b/>
                <w:sz w:val="20"/>
              </w:rPr>
              <w:t>。亏损持续加大，请问公司对于这两家公司的扭亏计划是什么？公司投资这2家公司的投资诉求达成情况如何？</w:t>
            </w:r>
          </w:p>
          <w:p w14:paraId="2ABF3DCF" w14:textId="13ACC929"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lastRenderedPageBreak/>
              <w:t>答:2025年，公司子公司辽宁金发净利润同比减亏13.98%；公司子公司宁波金发亏损有所扩大，主要受在建工程转固影响。近年来，公司持续推进工艺能效技改、扩能改造及产品结构优化，有效降低生产成本、提升产品盈利能力，2025年绿色石化板块实现毛利润同比减亏9.15%。2026年，公司强化产业链协同，围绕15万吨PP、20万吨ABS聚合-改性一体化装置满产满销的目标，重点开发PP和ABS的定制化专用料产品，进一步优化产品结构，努力推进绿色石化业务进一步减亏。公司布局上游绿色石化板块，核心目的是保障改性塑料业务板块关键原材料稳定供应，赋能主业高质量发展。目前，投资诉求阶段性达成。近年来，随着公司ABS、PP树脂自用比例持续提升，产品配方稳定性与品质一致性进一步增强，有效提升了供应链安全与核心竞争壁垒。2025年，改性塑料板块销量295.06万吨、毛利润87.40亿元，均创历史新高，较2023年分别增长39.67%、37.84%，进一步巩固全球龙头地位。目前，产业链一体化深化工作及绿色石化板块扭亏目标，仍在稳步推进中。</w:t>
            </w:r>
          </w:p>
          <w:p w14:paraId="4D797DF1"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一季度石化板块受原油价格波动影响如何，4月份以来ABS回落，成本依旧高企，专用料价格能否传导给下游</w:t>
            </w:r>
            <w:r>
              <w:rPr>
                <w:rFonts w:ascii="宋体" w:eastAsia="宋体" w:hAnsi="宋体" w:cs="宋体" w:hint="eastAsia"/>
                <w:b/>
                <w:sz w:val="20"/>
              </w:rPr>
              <w:t>？</w:t>
            </w:r>
          </w:p>
          <w:p w14:paraId="265E8491" w14:textId="77777777" w:rsidR="00FC0271" w:rsidRDefault="00642FD4">
            <w:pPr>
              <w:pStyle w:val="TableParagraph"/>
              <w:wordWrap w:val="0"/>
              <w:autoSpaceDE/>
              <w:autoSpaceDN/>
              <w:spacing w:line="360" w:lineRule="auto"/>
              <w:ind w:firstLineChars="200" w:firstLine="400"/>
              <w:rPr>
                <w:rFonts w:ascii="宋体" w:eastAsia="宋体" w:hAnsi="宋体" w:cs="宋体"/>
                <w:b/>
                <w:sz w:val="20"/>
              </w:rPr>
            </w:pPr>
            <w:r>
              <w:rPr>
                <w:rFonts w:ascii="宋体" w:eastAsia="宋体" w:hAnsi="宋体" w:cs="宋体"/>
                <w:sz w:val="20"/>
              </w:rPr>
              <w:t>答:今年3月份以来，石化板块盈利受国际原油价格波动影响，成本端压力阶段性上行。公司坚持“合成-改性一体化”策略，通过工艺优化、能效技改、产品结构升级等举措，持续降本增效，对冲成本波动影响。在专用料业务上，公司依托技术壁垒、定制化解决方案及长期稳定的客户合作关系，具备一定成本传导能力，目前已完成阶段性合理提价。后续，公司将持续推进高端专用料开发，深化产业链协同，提升产品附加值与盈利韧性，积极应对行业周期波动。</w:t>
            </w:r>
          </w:p>
          <w:p w14:paraId="50DE9B90" w14:textId="77777777" w:rsidR="00FC0271" w:rsidRDefault="00642FD4">
            <w:pPr>
              <w:pStyle w:val="TableParagraph"/>
              <w:numPr>
                <w:ilvl w:val="0"/>
                <w:numId w:val="2"/>
              </w:numPr>
              <w:wordWrap w:val="0"/>
              <w:autoSpaceDE/>
              <w:autoSpaceDN/>
              <w:spacing w:line="360" w:lineRule="auto"/>
              <w:ind w:left="0" w:firstLine="402"/>
              <w:rPr>
                <w:rFonts w:ascii="宋体" w:eastAsia="宋体" w:hAnsi="宋体" w:cs="宋体"/>
                <w:b/>
                <w:sz w:val="20"/>
              </w:rPr>
            </w:pPr>
            <w:r>
              <w:rPr>
                <w:rFonts w:ascii="宋体" w:eastAsia="宋体" w:hAnsi="宋体" w:cs="宋体"/>
                <w:b/>
                <w:sz w:val="20"/>
              </w:rPr>
              <w:t>请问公司用于机器人的材料供应了哪些企业？当前产生多少营收贡献？</w:t>
            </w:r>
          </w:p>
          <w:p w14:paraId="5EBF05C4"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公司已组建专门的材料研发团队，并与行业头部企业开展协同开发合作。目前，部分材料已实现向客户供应。当前，该业务占公司营收比例极小，未来存在一定不确定性。基于商业保密原则，下游具体客户的合作情况不便披露，公司将严格按照相关规则，及时披露重大进展。敬请广大投资者理性投资，注意甄别市场概念，防范炒作风险。</w:t>
            </w:r>
          </w:p>
          <w:p w14:paraId="2F6871AC"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宁波和辽宁“合成改性一体化”产线能够带来的实际效用？</w:t>
            </w:r>
          </w:p>
          <w:p w14:paraId="53F0C19F"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宁波金发与辽宁金发建成合成改性一体化产线，实现了厂内从树脂聚合到材料改性的一体化生产，有助于进一步发挥产业链一体化的竞争优势。该模式通过在线改性，减少中间产品的仓储、物流及包装环节，有效降低仓储费用、运费等生产费用，提升产品生产效率，同时强化产品配方稳定性与品质一致性。未来，随着专用料及改性料比例提高，产品结构持续优化，板块协同效</w:t>
            </w:r>
            <w:r>
              <w:rPr>
                <w:rFonts w:ascii="宋体" w:eastAsia="宋体" w:hAnsi="宋体" w:cs="宋体"/>
                <w:sz w:val="20"/>
              </w:rPr>
              <w:lastRenderedPageBreak/>
              <w:t>应与市场抗风险能力有望进一步增强。</w:t>
            </w:r>
          </w:p>
          <w:p w14:paraId="0FE57965"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公司长期负债、短期负债都较高，有打算怎么降低下资产负债率吗？</w:t>
            </w:r>
          </w:p>
          <w:p w14:paraId="4371F6EA" w14:textId="79E0A7A3"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w:t>
            </w:r>
            <w:r w:rsidR="00751DD5">
              <w:rPr>
                <w:rFonts w:ascii="宋体" w:eastAsia="宋体" w:hAnsi="宋体" w:cs="宋体" w:hint="eastAsia"/>
                <w:sz w:val="20"/>
              </w:rPr>
              <w:t>公司</w:t>
            </w:r>
            <w:r>
              <w:rPr>
                <w:rFonts w:ascii="宋体" w:eastAsia="宋体" w:hAnsi="宋体" w:cs="宋体"/>
                <w:sz w:val="20"/>
              </w:rPr>
              <w:t>通过科学配置不同期限的融资产品、优化债务结构、拓展多元化融资渠道等措施，确保公司资金链安全稳健。公司的短期债务占总债务比例控制在40%以内。公司在融资结构的管理上，遵循如下几个原则：（1）期限匹配原则避免短债长投导致的期限错配的风险。①长期资金用长期融资，公司的资本性投入、股权投入等资金需求，优先配置长期融资资金，如长期贷款、中期票据、股权融资等。②短期资金需求用短期融资，公司营运资金通过短期流贷、票据、信用证、供应链金融等短期工具灵活补充，保障流动性高效运转。（2</w:t>
            </w:r>
            <w:r w:rsidR="00751DD5">
              <w:rPr>
                <w:rFonts w:ascii="宋体" w:eastAsia="宋体" w:hAnsi="宋体" w:cs="宋体"/>
                <w:sz w:val="20"/>
              </w:rPr>
              <w:t>）多元化融资渠道，公司</w:t>
            </w:r>
            <w:r>
              <w:rPr>
                <w:rFonts w:ascii="宋体" w:eastAsia="宋体" w:hAnsi="宋体" w:cs="宋体"/>
                <w:sz w:val="20"/>
              </w:rPr>
              <w:t>通过</w:t>
            </w:r>
            <w:r w:rsidR="00751DD5">
              <w:rPr>
                <w:rFonts w:ascii="宋体" w:eastAsia="宋体" w:hAnsi="宋体" w:cs="宋体" w:hint="eastAsia"/>
                <w:sz w:val="20"/>
              </w:rPr>
              <w:t>丰富</w:t>
            </w:r>
            <w:r w:rsidR="00751DD5">
              <w:rPr>
                <w:rFonts w:ascii="宋体" w:eastAsia="宋体" w:hAnsi="宋体" w:cs="宋体"/>
                <w:sz w:val="20"/>
              </w:rPr>
              <w:t>融资渠道</w:t>
            </w:r>
            <w:r>
              <w:rPr>
                <w:rFonts w:ascii="宋体" w:eastAsia="宋体" w:hAnsi="宋体" w:cs="宋体"/>
                <w:sz w:val="20"/>
              </w:rPr>
              <w:t>，配置不同期限的产品，</w:t>
            </w:r>
            <w:r w:rsidR="00751DD5">
              <w:rPr>
                <w:rFonts w:ascii="宋体" w:eastAsia="宋体" w:hAnsi="宋体" w:cs="宋体" w:hint="eastAsia"/>
                <w:sz w:val="20"/>
              </w:rPr>
              <w:t>以</w:t>
            </w:r>
            <w:r>
              <w:rPr>
                <w:rFonts w:ascii="宋体" w:eastAsia="宋体" w:hAnsi="宋体" w:cs="宋体"/>
                <w:sz w:val="20"/>
              </w:rPr>
              <w:t>分散流动性风险。①股权与债权结合</w:t>
            </w:r>
            <w:r w:rsidR="00751DD5">
              <w:rPr>
                <w:rFonts w:ascii="宋体" w:eastAsia="宋体" w:hAnsi="宋体" w:cs="宋体" w:hint="eastAsia"/>
                <w:sz w:val="20"/>
              </w:rPr>
              <w:t>，</w:t>
            </w:r>
            <w:r>
              <w:rPr>
                <w:rFonts w:ascii="宋体" w:eastAsia="宋体" w:hAnsi="宋体" w:cs="宋体"/>
                <w:sz w:val="20"/>
              </w:rPr>
              <w:t>在适当的时机引入股权融资，解决公司的战略资金需求。②境内外市场联动，依托全球化布局，利用境外低成本资金，平衡汇率与利率风险。③</w:t>
            </w:r>
            <w:r w:rsidR="00751DD5">
              <w:rPr>
                <w:rFonts w:ascii="宋体" w:eastAsia="宋体" w:hAnsi="宋体" w:cs="宋体"/>
                <w:sz w:val="20"/>
              </w:rPr>
              <w:t>多层次资本市场融资，除传统银行信贷外，</w:t>
            </w:r>
            <w:r>
              <w:rPr>
                <w:rFonts w:ascii="宋体" w:eastAsia="宋体" w:hAnsi="宋体" w:cs="宋体"/>
                <w:sz w:val="20"/>
              </w:rPr>
              <w:t>引入债券、票据等多种长期融资工具。如公司2025年公告的拟注册发行40亿元中期票据的事宜，目前已累计发行10亿元。（3）高质量经营，通过加快资产周转，提高经营净现金流，降低整体资产负债率。公司2025年年末资产负债率为64.58%，同比下降约2个百分点。</w:t>
            </w:r>
          </w:p>
          <w:p w14:paraId="36C31D07"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汽车和家电消费政策调整，未来改性塑料业务是否还能维持高增速？</w:t>
            </w:r>
          </w:p>
          <w:p w14:paraId="12936FDB" w14:textId="77777777" w:rsidR="001A21F6"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答:公司改性塑料业务发展根基稳固，叠加优势领域稳步扩容、新兴赛道快速放量，具备长期稳健增长动能，业绩可持续性较强。</w:t>
            </w:r>
          </w:p>
          <w:p w14:paraId="38560671" w14:textId="1FB23477" w:rsidR="000A4428"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下游应用层面，汽车、家电、电子电工为公司三大核心根基领域，需求基本面扎实。汽车领域，全球新能源汽车替代传统燃油车的长期趋势明确，海外市场增长空间广阔。公司依托全球化布局，紧跟国内车企出海节奏，同步配套供货，持续提升海外营收占比；家电领域，公司已打通PP、ABS完整产业链，依托宁波、辽宁两地聚合-改性一体化产能布局，强化家电材料综合配套能力；电子电工作为工程塑料的核心刚需赛道，产品应用场景持续拓宽，夯实传统业务基本盘。同时，公司积极抢抓AI算力、具身机器人等新兴产业发展机遇，针对性研发适配的新材料整体解决方案，积极布局前沿领域，培育全新增长曲线（目前相关业务仍处于前期拓展与市场培育阶段，整体营收占比相对有限，未来或将伴随行业发展逐步释放增量</w:t>
            </w:r>
            <w:r w:rsidR="00751DD5">
              <w:rPr>
                <w:rFonts w:ascii="宋体" w:eastAsia="宋体" w:hAnsi="宋体" w:cs="宋体" w:hint="eastAsia"/>
                <w:sz w:val="20"/>
              </w:rPr>
              <w:t>，</w:t>
            </w:r>
            <w:r w:rsidR="00751DD5" w:rsidRPr="00751DD5">
              <w:rPr>
                <w:rFonts w:ascii="宋体" w:eastAsia="宋体" w:hAnsi="宋体" w:cs="宋体" w:hint="eastAsia"/>
                <w:sz w:val="20"/>
              </w:rPr>
              <w:t>敬请投资者注意投资风险</w:t>
            </w:r>
            <w:r>
              <w:rPr>
                <w:rFonts w:ascii="宋体" w:eastAsia="宋体" w:hAnsi="宋体" w:cs="宋体"/>
                <w:sz w:val="20"/>
              </w:rPr>
              <w:t>）。</w:t>
            </w:r>
          </w:p>
          <w:p w14:paraId="2A1B3FFD" w14:textId="6BD7293D"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核心竞争层面，公司是全球规模领先、产品品类最为齐全的改性塑料龙头企业，依托领先产能、全球化产销研布局、上下游一体化产业链及深厚技术积淀、规模化成本优势，构建高壁垒核心竞争体系。凭借上下游产业链协同优势，公司持续筑牢供应链安全防线，保障原料稳定供应；同时以材料整体解决方案为抓手，不断提升综合服务能力，为业务中长期稳健发展夯实基础。</w:t>
            </w:r>
          </w:p>
          <w:p w14:paraId="6122FC40"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lastRenderedPageBreak/>
              <w:t>公司一季度营收及利润增幅远不及同业国恩股份、道恩股份，请问是战略选择还是市场竞争的结果？</w:t>
            </w:r>
          </w:p>
          <w:p w14:paraId="63D76925"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各企业间因战略发展方向、发展阶段、业务结构等的不同，在业绩表现上存在一定差异。2026年第一季度，公司实现营业收入155.90亿元；归母净利润3.05亿元，同比增长23.72%。一季度归母净利润实现较快增长，主要得益于公司持续优化改性塑料业务板块的产品结构并深化市场拓展，实现销量与毛利同步增长；同时，新材料业务取得技术与市场的双重突破，各核心产品销量与毛利均实现高速增长。展望未来，公司将坚持以创新驱动为核心，深化一体化及全球化产业链布局，强化供应链安全保障，为全球客户提供更具竞争力的新材料整体解决方案，扎实推进高质量发展。</w:t>
            </w:r>
          </w:p>
          <w:p w14:paraId="73D18B21" w14:textId="5D4000A1" w:rsidR="00FC0271" w:rsidRDefault="00642FD4">
            <w:pPr>
              <w:pStyle w:val="TableParagraph"/>
              <w:numPr>
                <w:ilvl w:val="0"/>
                <w:numId w:val="2"/>
              </w:numPr>
              <w:wordWrap w:val="0"/>
              <w:autoSpaceDE/>
              <w:autoSpaceDN/>
              <w:spacing w:line="360" w:lineRule="auto"/>
              <w:ind w:left="0" w:firstLine="402"/>
              <w:rPr>
                <w:rFonts w:ascii="宋体" w:eastAsia="宋体" w:hAnsi="宋体" w:cs="宋体"/>
                <w:sz w:val="20"/>
              </w:rPr>
            </w:pPr>
            <w:r>
              <w:rPr>
                <w:rFonts w:ascii="宋体" w:eastAsia="宋体" w:hAnsi="宋体" w:cs="宋体"/>
                <w:b/>
                <w:sz w:val="20"/>
              </w:rPr>
              <w:t>能否介绍下近期公司在AI产业和人形机器人的布局及发展情况</w:t>
            </w:r>
            <w:r>
              <w:rPr>
                <w:rFonts w:ascii="宋体" w:eastAsia="宋体" w:hAnsi="宋体" w:cs="宋体" w:hint="eastAsia"/>
                <w:b/>
                <w:sz w:val="20"/>
              </w:rPr>
              <w:t>？</w:t>
            </w:r>
          </w:p>
          <w:p w14:paraId="71F7FE90"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公司高度关注并积极响应AI算力、具身智能等战略性新兴产业发展机遇。目前，在AI算力领域，公司推出超薄无卤阻燃PPA及高流动、低翘曲LCP等材料，满足AI服务器高速连接器对介电性能与传输效率的严苛要求；高强度、低噪声无卤阻燃PPA、LCP、PES、PEI广泛用于超高转速散热风扇，为AI服务器稳定运行提供关键材料保障；透明薄壁阻燃PCR-PC和PPSU产品，满足算力服务器高温零部件的耐热和环保合规要求，已在行业中获得批量应用。在具身智能领域，公司已成立机器人材料项目研发团队，积极与机器人领域头部企业开展材料协同开发与合作。近年来，推出超高强度、耐疲劳耐磨PPA等特种工程塑料，能够提升具身智能领域关键零部件的运动性能和稳定持久性能。目前，公司AI产业相关特种工程塑料在特种工程塑料的销量占比近3成；具身智能相关材料在公司整体产品销量中的占比极低，对当期业绩直接贡献相对有限，敬请广大投资者注意投资风险。公司将持续深耕前沿技术领域，赋能下游新兴行业高质量发展。</w:t>
            </w:r>
          </w:p>
          <w:p w14:paraId="2BEAB6E1" w14:textId="77777777" w:rsidR="00FC0271" w:rsidRDefault="00642FD4">
            <w:pPr>
              <w:pStyle w:val="TableParagraph"/>
              <w:numPr>
                <w:ilvl w:val="0"/>
                <w:numId w:val="2"/>
              </w:numPr>
              <w:wordWrap w:val="0"/>
              <w:autoSpaceDE/>
              <w:autoSpaceDN/>
              <w:spacing w:line="360" w:lineRule="auto"/>
              <w:ind w:left="0" w:firstLine="402"/>
              <w:rPr>
                <w:rFonts w:ascii="宋体" w:eastAsia="宋体" w:hAnsi="宋体" w:cs="宋体"/>
                <w:b/>
                <w:sz w:val="20"/>
              </w:rPr>
            </w:pPr>
            <w:r>
              <w:rPr>
                <w:rFonts w:ascii="宋体" w:eastAsia="宋体" w:hAnsi="宋体" w:cs="宋体" w:hint="eastAsia"/>
                <w:b/>
                <w:sz w:val="20"/>
              </w:rPr>
              <w:t>(</w:t>
            </w:r>
            <w:r>
              <w:rPr>
                <w:rFonts w:ascii="宋体" w:eastAsia="宋体" w:hAnsi="宋体" w:cs="宋体"/>
                <w:b/>
                <w:sz w:val="20"/>
              </w:rPr>
              <w:t>1)可降解塑料5月新国标落地后，近期订单有没有明显放量？对公司今年业绩的增量贡献大概能有多少？(2)特种工程塑料（特别是LCP和PEEK）的验证和量产进度如何？有没有进入头部客户供应链？(3)绿色石化板块今年能不能看到减亏拐点？增资后的宁波金发具体如何改善？(4)海外西班牙、印尼工厂的产能爬坡进度是否符合预期？</w:t>
            </w:r>
          </w:p>
          <w:p w14:paraId="571BE1B9"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 (1)公司始终高度关注并积极践行国家“双碳”战略，生物降解塑料是公司重点发展的绿色新材料方向之一。当前，公司生物降解塑料业务展现出良好的增长势头，2025年，主要产品销量同比增长25.37%，并成功突破了工业级增材制造、高端食品包装等领域的应用瓶颈，带动金发生物实现了扭亏为盈；2026年一季度销量同比增长58.66%，销量及毛利润同比均实现快速增长。近年来，欧盟、东南亚等地区有关降解塑料和循环回收材料领域的政策法规收紧趋</w:t>
            </w:r>
            <w:r>
              <w:rPr>
                <w:rFonts w:ascii="宋体" w:eastAsia="宋体" w:hAnsi="宋体" w:cs="宋体"/>
                <w:sz w:val="20"/>
              </w:rPr>
              <w:lastRenderedPageBreak/>
              <w:t>严，国内鼓励快递包装行业积极使用可降解、可重复利用的环保包装材料。公司将密切跟踪市场动态，积极把握市场机遇，持续推动该板块高质量发展。</w:t>
            </w:r>
          </w:p>
          <w:p w14:paraId="03E1657A"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(2)公司是国内品种最全、产业化规模最大的特种工程塑料领军企业，产品已进入多家行业头部客户供应链，其中公司LCP树脂已在AI算力、新能源等行业的头部客户实现批量供应。截止2025年末，公司已形成年产3.9万吨半芳香聚酰胺、LCP和聚芳醚砜合成树脂产能，其中1.5万吨/年LCP合成树脂项目首期5000吨/年装置及千吨级聚酰亚胺项目已顺利投产。</w:t>
            </w:r>
          </w:p>
          <w:p w14:paraId="064ABF12"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(3)①公司正全力推进宁波金发、辽宁金发的提质增效工作，通过提升高附加值的专用料及改性料占比优化产品结构、提升盈利能力，并持续推进装置技改与能源管理优化以降低生产制造费用，努力实现进一步减亏。②对宁波金发增资后，有利于优化其资产负债结构，增强资本实力与抗风险能力，提升资产运营效率与综合竞争力。</w:t>
            </w:r>
          </w:p>
          <w:p w14:paraId="6E665E89"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(4)公司海外西班牙、印尼工厂于2025年相继落成投产，其中西班牙工厂遵循“本地回收、本地生产、本地应用”的循环经济模式，依托欧洲本地废塑料回收资质与技术中心的研发能力，全面实现本地化废旧塑料回收与高质化再生，当前产能利用率在70%左右，基本符合业务发展预期。印尼工厂作为公司“卫星工厂”模式的先行示范工厂，一期产线已投放，同时结合业务开展状况，正进行产线新增建设，当前产能释放基本符合预期。</w:t>
            </w:r>
          </w:p>
          <w:p w14:paraId="51FF7459"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负债率高，公司这块有没有计划降低到多少的时间线</w:t>
            </w:r>
            <w:r>
              <w:rPr>
                <w:rFonts w:ascii="宋体" w:eastAsia="宋体" w:hAnsi="宋体" w:cs="宋体" w:hint="eastAsia"/>
                <w:b/>
                <w:sz w:val="20"/>
              </w:rPr>
              <w:t>？</w:t>
            </w:r>
          </w:p>
          <w:p w14:paraId="5C8E11EC"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公司通过合理配置不同期限融资产品、优化债务结构、拓展多元化融资渠道等举措，保障资金链安全稳健。2025年末，公司资产负债率为64.58%，同比下降约2个百分点。2026年，公司计划在2025年末资产负债率的基础上持续推动负债率稳步优化。</w:t>
            </w:r>
          </w:p>
          <w:p w14:paraId="63F9E9C4"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美伊冲突以来，国际油价的持续走高，对公司二季度业务开展，有何具体影响，公司采取了哪些积极措施，应对国际油价上涨对公司各类产品供销节奏带来的影响</w:t>
            </w:r>
            <w:r>
              <w:rPr>
                <w:rFonts w:ascii="宋体" w:eastAsia="宋体" w:hAnsi="宋体" w:cs="宋体" w:hint="eastAsia"/>
                <w:b/>
                <w:sz w:val="20"/>
              </w:rPr>
              <w:t>？</w:t>
            </w:r>
          </w:p>
          <w:p w14:paraId="68098F1F" w14:textId="77777777" w:rsidR="000A2F99"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答:总体来看，油价持续走高对公司不同业务板块的影响存在结构性差异：</w:t>
            </w:r>
            <w:r w:rsidR="000A2F99">
              <w:rPr>
                <w:rFonts w:ascii="宋体" w:eastAsia="宋体" w:hAnsi="宋体" w:cs="宋体" w:hint="eastAsia"/>
                <w:sz w:val="20"/>
              </w:rPr>
              <w:t>（1）</w:t>
            </w:r>
            <w:r>
              <w:rPr>
                <w:rFonts w:ascii="宋体" w:eastAsia="宋体" w:hAnsi="宋体" w:cs="宋体"/>
                <w:sz w:val="20"/>
              </w:rPr>
              <w:t>公司特种工程塑料的定价逻辑以技术壁垒和市场供需为核心，虽然原料价格涨幅明显，但公司向下游传导能力相对较强，影响相对可控。</w:t>
            </w:r>
            <w:r w:rsidR="000A2F99">
              <w:rPr>
                <w:rFonts w:ascii="宋体" w:eastAsia="宋体" w:hAnsi="宋体" w:cs="宋体" w:hint="eastAsia"/>
                <w:sz w:val="20"/>
              </w:rPr>
              <w:t>（2）</w:t>
            </w:r>
            <w:r>
              <w:rPr>
                <w:rFonts w:ascii="宋体" w:eastAsia="宋体" w:hAnsi="宋体" w:cs="宋体"/>
                <w:sz w:val="20"/>
              </w:rPr>
              <w:t>绿色石化板块与改性塑料板块受油价上涨影响较大，成本端压力显著上升。</w:t>
            </w:r>
            <w:r w:rsidR="000A2F99">
              <w:rPr>
                <w:rFonts w:ascii="宋体" w:eastAsia="宋体" w:hAnsi="宋体" w:cs="宋体" w:hint="eastAsia"/>
                <w:sz w:val="20"/>
              </w:rPr>
              <w:t>（3）</w:t>
            </w:r>
            <w:r>
              <w:rPr>
                <w:rFonts w:ascii="宋体" w:eastAsia="宋体" w:hAnsi="宋体" w:cs="宋体"/>
                <w:sz w:val="20"/>
              </w:rPr>
              <w:t>生物基材料采用可再生生物原料替代传统石油基原料，在国际油价上行周期中，部分生物基材料展现出一定的成本竞争优势。</w:t>
            </w:r>
          </w:p>
          <w:p w14:paraId="18E691D4" w14:textId="15EEB84C"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为积极应对油价上涨对公司各类产品供销节奏带来的影响，公司已采取以下措施：</w:t>
            </w:r>
            <w:r w:rsidR="000A2F99">
              <w:rPr>
                <w:rFonts w:ascii="宋体" w:eastAsia="宋体" w:hAnsi="宋体" w:cs="宋体" w:hint="eastAsia"/>
                <w:sz w:val="20"/>
              </w:rPr>
              <w:t>（1）</w:t>
            </w:r>
            <w:r>
              <w:rPr>
                <w:rFonts w:ascii="宋体" w:eastAsia="宋体" w:hAnsi="宋体" w:cs="宋体"/>
                <w:sz w:val="20"/>
              </w:rPr>
              <w:t>价格联动与传导机制：依托成熟高效的调价联动机制，结合市场行情合理传导成本压力，积极与下游客户协同应对周期波动，争取实现成本合</w:t>
            </w:r>
            <w:r>
              <w:rPr>
                <w:rFonts w:ascii="宋体" w:eastAsia="宋体" w:hAnsi="宋体" w:cs="宋体"/>
                <w:sz w:val="20"/>
              </w:rPr>
              <w:lastRenderedPageBreak/>
              <w:t>理共担。</w:t>
            </w:r>
            <w:r w:rsidR="000A2F99">
              <w:rPr>
                <w:rFonts w:ascii="宋体" w:eastAsia="宋体" w:hAnsi="宋体" w:cs="宋体" w:hint="eastAsia"/>
                <w:sz w:val="20"/>
              </w:rPr>
              <w:t>（2）</w:t>
            </w:r>
            <w:r>
              <w:rPr>
                <w:rFonts w:ascii="宋体" w:eastAsia="宋体" w:hAnsi="宋体" w:cs="宋体"/>
                <w:sz w:val="20"/>
              </w:rPr>
              <w:t>内部降本增效：通过精益生产、供应链整合、优化运营管理等举措，有效消化部分增量成本。</w:t>
            </w:r>
            <w:r w:rsidR="000A2F99">
              <w:rPr>
                <w:rFonts w:ascii="宋体" w:eastAsia="宋体" w:hAnsi="宋体" w:cs="宋体" w:hint="eastAsia"/>
                <w:sz w:val="20"/>
              </w:rPr>
              <w:t>（3）</w:t>
            </w:r>
            <w:r>
              <w:rPr>
                <w:rFonts w:ascii="宋体" w:eastAsia="宋体" w:hAnsi="宋体" w:cs="宋体"/>
                <w:sz w:val="20"/>
              </w:rPr>
              <w:t>优化产品结构：重点布局高附加值、高技术壁垒的特种工程塑料、生物基材料及再生塑料等新材料，降低对大宗商品及油价波动的依赖。</w:t>
            </w:r>
            <w:r w:rsidR="000A2F99">
              <w:rPr>
                <w:rFonts w:ascii="宋体" w:eastAsia="宋体" w:hAnsi="宋体" w:cs="宋体" w:hint="eastAsia"/>
                <w:sz w:val="20"/>
              </w:rPr>
              <w:t>（4）</w:t>
            </w:r>
            <w:r>
              <w:rPr>
                <w:rFonts w:ascii="宋体" w:eastAsia="宋体" w:hAnsi="宋体" w:cs="宋体"/>
                <w:sz w:val="20"/>
              </w:rPr>
              <w:t>深化产业链一体化与全球化布局：增强经营韧性，平抑周期波动对盈利水平的扰动，持续提升公司整体盈利能力与抗风险能力。</w:t>
            </w:r>
          </w:p>
          <w:p w14:paraId="0C765E8E" w14:textId="77777777" w:rsidR="00FC0271" w:rsidRDefault="00642FD4">
            <w:pPr>
              <w:pStyle w:val="TableParagraph"/>
              <w:numPr>
                <w:ilvl w:val="0"/>
                <w:numId w:val="2"/>
              </w:numPr>
              <w:kinsoku w:val="0"/>
              <w:wordWrap w:val="0"/>
              <w:autoSpaceDE/>
              <w:autoSpaceDN/>
              <w:spacing w:line="360" w:lineRule="auto"/>
              <w:ind w:left="0" w:firstLine="402"/>
              <w:rPr>
                <w:rFonts w:ascii="宋体" w:eastAsia="宋体" w:hAnsi="宋体" w:cs="宋体"/>
                <w:b/>
                <w:sz w:val="20"/>
              </w:rPr>
            </w:pPr>
            <w:r>
              <w:rPr>
                <w:rFonts w:ascii="宋体" w:eastAsia="宋体" w:hAnsi="宋体" w:cs="宋体"/>
                <w:b/>
                <w:sz w:val="20"/>
              </w:rPr>
              <w:t>请问peek材料等特种工程材料2026年市场预测有多大</w:t>
            </w:r>
            <w:r>
              <w:rPr>
                <w:rFonts w:ascii="宋体" w:eastAsia="宋体" w:hAnsi="宋体" w:cs="宋体" w:hint="eastAsia"/>
                <w:b/>
                <w:sz w:val="20"/>
              </w:rPr>
              <w:t>？</w:t>
            </w:r>
          </w:p>
          <w:p w14:paraId="16E78B21" w14:textId="77777777" w:rsidR="00FC0271" w:rsidRDefault="00642FD4">
            <w:pPr>
              <w:pStyle w:val="TableParagraph"/>
              <w:wordWrap w:val="0"/>
              <w:autoSpaceDE/>
              <w:autoSpaceDN/>
              <w:spacing w:line="360" w:lineRule="auto"/>
              <w:ind w:firstLineChars="200" w:firstLine="400"/>
              <w:rPr>
                <w:rFonts w:ascii="宋体" w:eastAsia="宋体" w:hAnsi="宋体" w:cs="宋体"/>
                <w:sz w:val="20"/>
              </w:rPr>
            </w:pPr>
            <w:r>
              <w:rPr>
                <w:rFonts w:ascii="宋体" w:eastAsia="宋体" w:hAnsi="宋体" w:cs="宋体"/>
                <w:sz w:val="20"/>
              </w:rPr>
              <w:t>答:特种工程塑料是化工新材料领域技术门槛高、附加值大的细分领域之一，具有研发周期长、认证壁垒高、工艺难度大等特点。近年来，在新能源、人工智能、具身智能等战略性新兴产业的需求拉动下，为相关企业创造了广阔的发展空间。金发科技作为国内品种最全、产业化规模最大的特种工程塑料领军企业，将特种工程塑料作为重点战略发展方向，持续提升在高端应用领域的材料解决方案能力，积极为战略性新兴产业的高质量发展提供关键材料支撑。PEEK、LCP、PPA等高性能材料在人工智能、具身智能、新能源、低空经济等战略性新兴产业的需求拉动下，应用场景不断拓宽，市场处于扩展期，但具体细分材料的市场规模受下游应用拓展速度、产业成熟度等多重因素影响，难以准确预估，敬请投资者关注投资风险。</w:t>
            </w:r>
          </w:p>
          <w:p w14:paraId="32EC29D5" w14:textId="77777777" w:rsidR="00FC0271" w:rsidRDefault="00FC0271">
            <w:pPr>
              <w:pStyle w:val="TableParagraph"/>
              <w:wordWrap w:val="0"/>
              <w:autoSpaceDE/>
              <w:autoSpaceDN/>
              <w:spacing w:line="360" w:lineRule="auto"/>
              <w:ind w:firstLineChars="200" w:firstLine="400"/>
              <w:rPr>
                <w:rFonts w:ascii="宋体" w:eastAsia="宋体" w:hAnsi="宋体" w:cs="宋体"/>
                <w:sz w:val="20"/>
              </w:rPr>
            </w:pPr>
          </w:p>
          <w:p w14:paraId="19CA9587" w14:textId="7D664D2F" w:rsidR="00FC0271" w:rsidRDefault="008D36FE">
            <w:pPr>
              <w:pStyle w:val="TableParagraph"/>
              <w:wordWrap w:val="0"/>
              <w:autoSpaceDE/>
              <w:autoSpaceDN/>
              <w:spacing w:line="360" w:lineRule="auto"/>
              <w:ind w:firstLineChars="200" w:firstLine="400"/>
              <w:rPr>
                <w:rFonts w:ascii="宋体" w:eastAsia="宋体" w:hAnsi="宋体" w:cs="宋体"/>
                <w:b/>
                <w:sz w:val="20"/>
              </w:rPr>
            </w:pPr>
            <w:r>
              <w:rPr>
                <w:rFonts w:ascii="宋体" w:eastAsia="宋体" w:hAnsi="宋体" w:cs="宋体" w:hint="eastAsia"/>
                <w:sz w:val="20"/>
              </w:rPr>
              <w:t>如需查看业绩说明会完整内容，请登录</w:t>
            </w:r>
            <w:bookmarkStart w:id="0" w:name="_GoBack"/>
            <w:bookmarkEnd w:id="0"/>
            <w:r w:rsidR="00642FD4">
              <w:rPr>
                <w:rFonts w:ascii="宋体" w:eastAsia="宋体" w:hAnsi="宋体" w:cs="宋体" w:hint="eastAsia"/>
                <w:sz w:val="20"/>
              </w:rPr>
              <w:t>：</w:t>
            </w:r>
            <w:r w:rsidR="00642FD4">
              <w:rPr>
                <w:rFonts w:ascii="宋体" w:eastAsia="宋体" w:hAnsi="宋体" w:cs="宋体"/>
                <w:sz w:val="20"/>
              </w:rPr>
              <w:t>https://eseb.cn/1xeVHDQIgiA</w:t>
            </w:r>
          </w:p>
        </w:tc>
      </w:tr>
      <w:tr w:rsidR="00FC0271" w14:paraId="79BD99DF" w14:textId="77777777">
        <w:trPr>
          <w:trHeight w:val="558"/>
          <w:jc w:val="center"/>
        </w:trPr>
        <w:tc>
          <w:tcPr>
            <w:tcW w:w="1555" w:type="dxa"/>
            <w:vAlign w:val="center"/>
          </w:tcPr>
          <w:p w14:paraId="55E98050" w14:textId="77777777" w:rsidR="00FC0271" w:rsidRDefault="00642FD4" w:rsidP="00342302">
            <w:pPr>
              <w:pStyle w:val="TableParagraph"/>
              <w:rPr>
                <w:rFonts w:ascii="宋体" w:eastAsia="宋体" w:hAnsi="宋体" w:cs="宋体"/>
                <w:b/>
                <w:bCs/>
                <w:sz w:val="20"/>
                <w:szCs w:val="20"/>
              </w:rPr>
            </w:pPr>
            <w:r>
              <w:rPr>
                <w:rFonts w:ascii="宋体" w:eastAsia="宋体" w:hAnsi="宋体" w:cs="宋体" w:hint="eastAsia"/>
                <w:b/>
                <w:bCs/>
                <w:sz w:val="20"/>
                <w:szCs w:val="20"/>
              </w:rPr>
              <w:lastRenderedPageBreak/>
              <w:t>附件清单</w:t>
            </w:r>
          </w:p>
        </w:tc>
        <w:tc>
          <w:tcPr>
            <w:tcW w:w="6970" w:type="dxa"/>
            <w:vAlign w:val="center"/>
          </w:tcPr>
          <w:p w14:paraId="79EC4FC8" w14:textId="77777777" w:rsidR="00FC0271" w:rsidRDefault="00642FD4" w:rsidP="00342302">
            <w:pPr>
              <w:pStyle w:val="TableParagraph"/>
              <w:rPr>
                <w:rFonts w:ascii="宋体" w:eastAsia="宋体" w:hAnsi="宋体" w:cs="宋体"/>
                <w:sz w:val="20"/>
                <w:szCs w:val="20"/>
              </w:rPr>
            </w:pPr>
            <w:r>
              <w:rPr>
                <w:rFonts w:ascii="宋体" w:eastAsia="宋体" w:hAnsi="宋体" w:cs="宋体" w:hint="eastAsia"/>
                <w:sz w:val="20"/>
                <w:szCs w:val="20"/>
              </w:rPr>
              <w:t>无</w:t>
            </w:r>
          </w:p>
        </w:tc>
      </w:tr>
      <w:tr w:rsidR="00FC0271" w14:paraId="169C07F3" w14:textId="77777777">
        <w:trPr>
          <w:trHeight w:val="558"/>
          <w:jc w:val="center"/>
        </w:trPr>
        <w:tc>
          <w:tcPr>
            <w:tcW w:w="1555" w:type="dxa"/>
            <w:vAlign w:val="center"/>
          </w:tcPr>
          <w:p w14:paraId="57835012" w14:textId="77777777" w:rsidR="00FC0271" w:rsidRDefault="00642FD4" w:rsidP="00342302">
            <w:pPr>
              <w:pStyle w:val="TableParagraph"/>
              <w:rPr>
                <w:rFonts w:ascii="宋体" w:eastAsia="宋体" w:hAnsi="宋体" w:cs="宋体"/>
                <w:b/>
                <w:bCs/>
                <w:sz w:val="20"/>
                <w:szCs w:val="20"/>
              </w:rPr>
            </w:pPr>
            <w:r>
              <w:rPr>
                <w:rFonts w:ascii="宋体" w:eastAsia="宋体" w:hAnsi="宋体" w:cs="宋体" w:hint="eastAsia"/>
                <w:b/>
                <w:bCs/>
                <w:sz w:val="20"/>
                <w:szCs w:val="20"/>
              </w:rPr>
              <w:t>日期</w:t>
            </w:r>
          </w:p>
        </w:tc>
        <w:tc>
          <w:tcPr>
            <w:tcW w:w="6970" w:type="dxa"/>
            <w:vAlign w:val="center"/>
          </w:tcPr>
          <w:p w14:paraId="63A39BC7" w14:textId="77777777" w:rsidR="00FC0271" w:rsidRDefault="00642FD4" w:rsidP="00342302">
            <w:pPr>
              <w:pStyle w:val="TableParagraph"/>
              <w:rPr>
                <w:rFonts w:ascii="宋体" w:eastAsia="宋体" w:hAnsi="宋体" w:cs="宋体"/>
                <w:sz w:val="20"/>
                <w:szCs w:val="20"/>
              </w:rPr>
            </w:pPr>
            <w:r>
              <w:rPr>
                <w:rFonts w:ascii="宋体" w:eastAsia="宋体" w:hAnsi="宋体" w:cs="宋体"/>
                <w:sz w:val="20"/>
                <w:szCs w:val="20"/>
              </w:rPr>
              <w:t>2026年5月15日</w:t>
            </w:r>
          </w:p>
        </w:tc>
      </w:tr>
    </w:tbl>
    <w:p w14:paraId="7AE9A2E8" w14:textId="77777777" w:rsidR="00FC0271" w:rsidRDefault="00FC0271">
      <w:pPr>
        <w:rPr>
          <w:rFonts w:ascii="宋体" w:eastAsia="宋体" w:hAnsi="宋体" w:cs="宋体"/>
          <w:sz w:val="20"/>
        </w:rPr>
      </w:pPr>
    </w:p>
    <w:sectPr w:rsidR="00FC0271">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79E5" w14:textId="77777777" w:rsidR="00546C3A" w:rsidRDefault="00546C3A" w:rsidP="00C13235">
      <w:r>
        <w:separator/>
      </w:r>
    </w:p>
  </w:endnote>
  <w:endnote w:type="continuationSeparator" w:id="0">
    <w:p w14:paraId="35DE8456" w14:textId="77777777" w:rsidR="00546C3A" w:rsidRDefault="00546C3A" w:rsidP="00C1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Times New Roman"/>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DBEB" w14:textId="77777777" w:rsidR="00546C3A" w:rsidRDefault="00546C3A" w:rsidP="00C13235">
      <w:r>
        <w:separator/>
      </w:r>
    </w:p>
  </w:footnote>
  <w:footnote w:type="continuationSeparator" w:id="0">
    <w:p w14:paraId="727BEC51" w14:textId="77777777" w:rsidR="00546C3A" w:rsidRDefault="00546C3A" w:rsidP="00C13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0239B"/>
    <w:multiLevelType w:val="multilevel"/>
    <w:tmpl w:val="4A50239B"/>
    <w:lvl w:ilvl="0">
      <w:start w:val="1"/>
      <w:numFmt w:val="decimal"/>
      <w:lvlText w:val="%1."/>
      <w:lvlJc w:val="left"/>
      <w:pPr>
        <w:ind w:left="822" w:hanging="420"/>
      </w:pPr>
      <w:rPr>
        <w:b/>
      </w:rPr>
    </w:lvl>
    <w:lvl w:ilvl="1">
      <w:start w:val="1"/>
      <w:numFmt w:val="lowerLetter"/>
      <w:lvlText w:val="%2)"/>
      <w:lvlJc w:val="left"/>
      <w:pPr>
        <w:ind w:left="1242" w:hanging="420"/>
      </w:pPr>
    </w:lvl>
    <w:lvl w:ilvl="2">
      <w:start w:val="1"/>
      <w:numFmt w:val="lowerRoman"/>
      <w:lvlText w:val="%3."/>
      <w:lvlJc w:val="right"/>
      <w:pPr>
        <w:ind w:left="1662" w:hanging="420"/>
      </w:pPr>
    </w:lvl>
    <w:lvl w:ilvl="3">
      <w:start w:val="1"/>
      <w:numFmt w:val="decimal"/>
      <w:lvlText w:val="%4."/>
      <w:lvlJc w:val="left"/>
      <w:pPr>
        <w:ind w:left="2082" w:hanging="420"/>
      </w:pPr>
    </w:lvl>
    <w:lvl w:ilvl="4">
      <w:start w:val="1"/>
      <w:numFmt w:val="lowerLetter"/>
      <w:lvlText w:val="%5)"/>
      <w:lvlJc w:val="left"/>
      <w:pPr>
        <w:ind w:left="2502" w:hanging="420"/>
      </w:pPr>
    </w:lvl>
    <w:lvl w:ilvl="5">
      <w:start w:val="1"/>
      <w:numFmt w:val="lowerRoman"/>
      <w:lvlText w:val="%6."/>
      <w:lvlJc w:val="right"/>
      <w:pPr>
        <w:ind w:left="2922" w:hanging="420"/>
      </w:pPr>
    </w:lvl>
    <w:lvl w:ilvl="6">
      <w:start w:val="1"/>
      <w:numFmt w:val="decimal"/>
      <w:lvlText w:val="%7."/>
      <w:lvlJc w:val="left"/>
      <w:pPr>
        <w:ind w:left="3342" w:hanging="420"/>
      </w:pPr>
    </w:lvl>
    <w:lvl w:ilvl="7">
      <w:start w:val="1"/>
      <w:numFmt w:val="lowerLetter"/>
      <w:lvlText w:val="%8)"/>
      <w:lvlJc w:val="left"/>
      <w:pPr>
        <w:ind w:left="3762" w:hanging="420"/>
      </w:pPr>
    </w:lvl>
    <w:lvl w:ilvl="8">
      <w:start w:val="1"/>
      <w:numFmt w:val="lowerRoman"/>
      <w:lvlText w:val="%9."/>
      <w:lvlJc w:val="right"/>
      <w:pPr>
        <w:ind w:left="4182" w:hanging="420"/>
      </w:pPr>
    </w:lvl>
  </w:abstractNum>
  <w:abstractNum w:abstractNumId="1" w15:restartNumberingAfterBreak="0">
    <w:nsid w:val="634F183B"/>
    <w:multiLevelType w:val="multilevel"/>
    <w:tmpl w:val="634F183B"/>
    <w:lvl w:ilvl="0">
      <w:start w:val="1"/>
      <w:numFmt w:val="japaneseCounting"/>
      <w:lvlText w:val="%1、"/>
      <w:lvlJc w:val="left"/>
      <w:pPr>
        <w:ind w:left="420" w:hanging="420"/>
      </w:pPr>
      <w:rPr>
        <w:rFonts w:ascii="宋体" w:eastAsia="宋体" w:hAnsi="宋体" w:cs="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YTYzOTRlZDNkOWViNjk1NGI1OTI2MzdjZTZjZDgifQ=="/>
  </w:docVars>
  <w:rsids>
    <w:rsidRoot w:val="00301D32"/>
    <w:rsid w:val="000018AA"/>
    <w:rsid w:val="000031FF"/>
    <w:rsid w:val="0000374C"/>
    <w:rsid w:val="0002579A"/>
    <w:rsid w:val="000261B4"/>
    <w:rsid w:val="00026CC3"/>
    <w:rsid w:val="00036089"/>
    <w:rsid w:val="00050E81"/>
    <w:rsid w:val="00051504"/>
    <w:rsid w:val="00053CFA"/>
    <w:rsid w:val="000633EC"/>
    <w:rsid w:val="00063804"/>
    <w:rsid w:val="000665A2"/>
    <w:rsid w:val="000877AB"/>
    <w:rsid w:val="00096E87"/>
    <w:rsid w:val="000A2F99"/>
    <w:rsid w:val="000A4428"/>
    <w:rsid w:val="000A51AA"/>
    <w:rsid w:val="000B677E"/>
    <w:rsid w:val="000B7C08"/>
    <w:rsid w:val="000C0F33"/>
    <w:rsid w:val="000D12CF"/>
    <w:rsid w:val="000D2C64"/>
    <w:rsid w:val="000D2D88"/>
    <w:rsid w:val="000E30CC"/>
    <w:rsid w:val="000E4B20"/>
    <w:rsid w:val="00102BF7"/>
    <w:rsid w:val="001057BB"/>
    <w:rsid w:val="00105CDD"/>
    <w:rsid w:val="0011126E"/>
    <w:rsid w:val="00111574"/>
    <w:rsid w:val="00113A52"/>
    <w:rsid w:val="0011418F"/>
    <w:rsid w:val="00115A83"/>
    <w:rsid w:val="001272F6"/>
    <w:rsid w:val="00144F24"/>
    <w:rsid w:val="00153CCD"/>
    <w:rsid w:val="0016011C"/>
    <w:rsid w:val="0017146A"/>
    <w:rsid w:val="00172001"/>
    <w:rsid w:val="00172C24"/>
    <w:rsid w:val="001827FE"/>
    <w:rsid w:val="0019110C"/>
    <w:rsid w:val="001A09A0"/>
    <w:rsid w:val="001A21F6"/>
    <w:rsid w:val="001A5C17"/>
    <w:rsid w:val="001A6C6A"/>
    <w:rsid w:val="001B5D02"/>
    <w:rsid w:val="001B6C89"/>
    <w:rsid w:val="001C406B"/>
    <w:rsid w:val="001E3182"/>
    <w:rsid w:val="001E42C3"/>
    <w:rsid w:val="001E44AA"/>
    <w:rsid w:val="001E59D1"/>
    <w:rsid w:val="001E5EA4"/>
    <w:rsid w:val="001F7EB5"/>
    <w:rsid w:val="002042A7"/>
    <w:rsid w:val="00205911"/>
    <w:rsid w:val="002146AD"/>
    <w:rsid w:val="0023326A"/>
    <w:rsid w:val="0024161A"/>
    <w:rsid w:val="00246214"/>
    <w:rsid w:val="002540D9"/>
    <w:rsid w:val="00254300"/>
    <w:rsid w:val="00262E3F"/>
    <w:rsid w:val="002647F9"/>
    <w:rsid w:val="00266A2E"/>
    <w:rsid w:val="00271C21"/>
    <w:rsid w:val="00275CB6"/>
    <w:rsid w:val="002800B5"/>
    <w:rsid w:val="002835BD"/>
    <w:rsid w:val="0028769A"/>
    <w:rsid w:val="00295B29"/>
    <w:rsid w:val="0029674D"/>
    <w:rsid w:val="002A616A"/>
    <w:rsid w:val="002B2DB0"/>
    <w:rsid w:val="002C61ED"/>
    <w:rsid w:val="002C7EEF"/>
    <w:rsid w:val="002D4073"/>
    <w:rsid w:val="002D6407"/>
    <w:rsid w:val="002E7098"/>
    <w:rsid w:val="00301D32"/>
    <w:rsid w:val="0031606E"/>
    <w:rsid w:val="003224EB"/>
    <w:rsid w:val="0032431E"/>
    <w:rsid w:val="00331C8C"/>
    <w:rsid w:val="00340F0E"/>
    <w:rsid w:val="00342302"/>
    <w:rsid w:val="0034725A"/>
    <w:rsid w:val="00352A4F"/>
    <w:rsid w:val="00353DD9"/>
    <w:rsid w:val="00364B31"/>
    <w:rsid w:val="00366FAD"/>
    <w:rsid w:val="0037105B"/>
    <w:rsid w:val="00372748"/>
    <w:rsid w:val="00374021"/>
    <w:rsid w:val="003843AF"/>
    <w:rsid w:val="003845A9"/>
    <w:rsid w:val="0038592A"/>
    <w:rsid w:val="00386F5C"/>
    <w:rsid w:val="00387554"/>
    <w:rsid w:val="00393416"/>
    <w:rsid w:val="003975BA"/>
    <w:rsid w:val="003A3E9F"/>
    <w:rsid w:val="003A74E6"/>
    <w:rsid w:val="003B0A05"/>
    <w:rsid w:val="003B3E2E"/>
    <w:rsid w:val="003B5312"/>
    <w:rsid w:val="003B6B40"/>
    <w:rsid w:val="003B73DD"/>
    <w:rsid w:val="003C5505"/>
    <w:rsid w:val="003C7D57"/>
    <w:rsid w:val="003D011C"/>
    <w:rsid w:val="003D03E7"/>
    <w:rsid w:val="003D09EB"/>
    <w:rsid w:val="003D4990"/>
    <w:rsid w:val="003E7644"/>
    <w:rsid w:val="003E7F7F"/>
    <w:rsid w:val="004061CA"/>
    <w:rsid w:val="004108C7"/>
    <w:rsid w:val="00412DC2"/>
    <w:rsid w:val="00416150"/>
    <w:rsid w:val="00417BD7"/>
    <w:rsid w:val="0042642E"/>
    <w:rsid w:val="004351A5"/>
    <w:rsid w:val="00440041"/>
    <w:rsid w:val="0044257E"/>
    <w:rsid w:val="00451268"/>
    <w:rsid w:val="004515AD"/>
    <w:rsid w:val="00451857"/>
    <w:rsid w:val="00453516"/>
    <w:rsid w:val="00455069"/>
    <w:rsid w:val="00457548"/>
    <w:rsid w:val="00462B71"/>
    <w:rsid w:val="00470DB2"/>
    <w:rsid w:val="004837A5"/>
    <w:rsid w:val="00490BCF"/>
    <w:rsid w:val="004911DF"/>
    <w:rsid w:val="004925E7"/>
    <w:rsid w:val="00494F81"/>
    <w:rsid w:val="00495908"/>
    <w:rsid w:val="00495B11"/>
    <w:rsid w:val="004B177B"/>
    <w:rsid w:val="004B216A"/>
    <w:rsid w:val="004C027E"/>
    <w:rsid w:val="004E0CE2"/>
    <w:rsid w:val="004E1C10"/>
    <w:rsid w:val="004F6FF3"/>
    <w:rsid w:val="005159CD"/>
    <w:rsid w:val="00516F18"/>
    <w:rsid w:val="0052064F"/>
    <w:rsid w:val="00521870"/>
    <w:rsid w:val="00531F09"/>
    <w:rsid w:val="00542FCB"/>
    <w:rsid w:val="00546761"/>
    <w:rsid w:val="00546C3A"/>
    <w:rsid w:val="00547BCD"/>
    <w:rsid w:val="005500F2"/>
    <w:rsid w:val="005541BA"/>
    <w:rsid w:val="0056074C"/>
    <w:rsid w:val="0056444E"/>
    <w:rsid w:val="00564743"/>
    <w:rsid w:val="00571B49"/>
    <w:rsid w:val="005743AE"/>
    <w:rsid w:val="00574649"/>
    <w:rsid w:val="00576BA2"/>
    <w:rsid w:val="00594182"/>
    <w:rsid w:val="00594648"/>
    <w:rsid w:val="005A2422"/>
    <w:rsid w:val="005A666F"/>
    <w:rsid w:val="005A7046"/>
    <w:rsid w:val="005B1A12"/>
    <w:rsid w:val="005B3932"/>
    <w:rsid w:val="005D0137"/>
    <w:rsid w:val="005D2E78"/>
    <w:rsid w:val="005D64CA"/>
    <w:rsid w:val="005E5717"/>
    <w:rsid w:val="005E6DB2"/>
    <w:rsid w:val="00601F84"/>
    <w:rsid w:val="006047FF"/>
    <w:rsid w:val="006121A4"/>
    <w:rsid w:val="0061433E"/>
    <w:rsid w:val="00614AFD"/>
    <w:rsid w:val="00616862"/>
    <w:rsid w:val="00617B46"/>
    <w:rsid w:val="0062269B"/>
    <w:rsid w:val="006258F1"/>
    <w:rsid w:val="0062751D"/>
    <w:rsid w:val="00630936"/>
    <w:rsid w:val="006344C7"/>
    <w:rsid w:val="00634E55"/>
    <w:rsid w:val="006354AA"/>
    <w:rsid w:val="00642FD4"/>
    <w:rsid w:val="0064626D"/>
    <w:rsid w:val="00650F56"/>
    <w:rsid w:val="006518E2"/>
    <w:rsid w:val="00652455"/>
    <w:rsid w:val="0065266E"/>
    <w:rsid w:val="0066024B"/>
    <w:rsid w:val="00660CAE"/>
    <w:rsid w:val="006610BE"/>
    <w:rsid w:val="00661AFA"/>
    <w:rsid w:val="006621F8"/>
    <w:rsid w:val="0066408A"/>
    <w:rsid w:val="0067235A"/>
    <w:rsid w:val="006726BF"/>
    <w:rsid w:val="00677B77"/>
    <w:rsid w:val="0068718A"/>
    <w:rsid w:val="006913E0"/>
    <w:rsid w:val="0069602C"/>
    <w:rsid w:val="0069786A"/>
    <w:rsid w:val="006A2739"/>
    <w:rsid w:val="006B1DB5"/>
    <w:rsid w:val="006B5C95"/>
    <w:rsid w:val="006C6686"/>
    <w:rsid w:val="006D6E67"/>
    <w:rsid w:val="006E14B0"/>
    <w:rsid w:val="006E5EE7"/>
    <w:rsid w:val="006F0108"/>
    <w:rsid w:val="00704AE6"/>
    <w:rsid w:val="007052E2"/>
    <w:rsid w:val="007153A2"/>
    <w:rsid w:val="00724A68"/>
    <w:rsid w:val="00724EDE"/>
    <w:rsid w:val="007271BF"/>
    <w:rsid w:val="00730DD3"/>
    <w:rsid w:val="00733224"/>
    <w:rsid w:val="00744C26"/>
    <w:rsid w:val="00751DD5"/>
    <w:rsid w:val="00762C7F"/>
    <w:rsid w:val="00764128"/>
    <w:rsid w:val="007751AC"/>
    <w:rsid w:val="007824B8"/>
    <w:rsid w:val="007910DD"/>
    <w:rsid w:val="00792C80"/>
    <w:rsid w:val="007963CC"/>
    <w:rsid w:val="007A3EC1"/>
    <w:rsid w:val="007B3368"/>
    <w:rsid w:val="007C329B"/>
    <w:rsid w:val="007C4E09"/>
    <w:rsid w:val="007D0A69"/>
    <w:rsid w:val="007D6DC4"/>
    <w:rsid w:val="007E20AC"/>
    <w:rsid w:val="007F31B3"/>
    <w:rsid w:val="00804765"/>
    <w:rsid w:val="00804D77"/>
    <w:rsid w:val="0081172E"/>
    <w:rsid w:val="00830C89"/>
    <w:rsid w:val="00833423"/>
    <w:rsid w:val="008335C0"/>
    <w:rsid w:val="008411B9"/>
    <w:rsid w:val="00844F05"/>
    <w:rsid w:val="00847ADB"/>
    <w:rsid w:val="00853463"/>
    <w:rsid w:val="008619E5"/>
    <w:rsid w:val="00872CDB"/>
    <w:rsid w:val="00885D75"/>
    <w:rsid w:val="0088676B"/>
    <w:rsid w:val="00893F25"/>
    <w:rsid w:val="00895035"/>
    <w:rsid w:val="008A1959"/>
    <w:rsid w:val="008A3578"/>
    <w:rsid w:val="008B2B14"/>
    <w:rsid w:val="008B49F3"/>
    <w:rsid w:val="008C1E5A"/>
    <w:rsid w:val="008C6AED"/>
    <w:rsid w:val="008C6B7D"/>
    <w:rsid w:val="008C7604"/>
    <w:rsid w:val="008D36FE"/>
    <w:rsid w:val="008E1B27"/>
    <w:rsid w:val="00901285"/>
    <w:rsid w:val="00903379"/>
    <w:rsid w:val="00905522"/>
    <w:rsid w:val="00906975"/>
    <w:rsid w:val="00917F0B"/>
    <w:rsid w:val="00917F8B"/>
    <w:rsid w:val="0094103C"/>
    <w:rsid w:val="009447FE"/>
    <w:rsid w:val="00960964"/>
    <w:rsid w:val="00965E4D"/>
    <w:rsid w:val="009742CC"/>
    <w:rsid w:val="00986B06"/>
    <w:rsid w:val="00992E37"/>
    <w:rsid w:val="009942AD"/>
    <w:rsid w:val="00994300"/>
    <w:rsid w:val="00994600"/>
    <w:rsid w:val="009B1D5C"/>
    <w:rsid w:val="009B7FEC"/>
    <w:rsid w:val="009C2E31"/>
    <w:rsid w:val="009D1A76"/>
    <w:rsid w:val="009D743F"/>
    <w:rsid w:val="009E1955"/>
    <w:rsid w:val="009F3AFC"/>
    <w:rsid w:val="009F4CF4"/>
    <w:rsid w:val="009F57D0"/>
    <w:rsid w:val="00A04CB6"/>
    <w:rsid w:val="00A11573"/>
    <w:rsid w:val="00A2244B"/>
    <w:rsid w:val="00A224F5"/>
    <w:rsid w:val="00A462AA"/>
    <w:rsid w:val="00A527AA"/>
    <w:rsid w:val="00A55F56"/>
    <w:rsid w:val="00A5684D"/>
    <w:rsid w:val="00A71F0B"/>
    <w:rsid w:val="00A72614"/>
    <w:rsid w:val="00A758CC"/>
    <w:rsid w:val="00A75C61"/>
    <w:rsid w:val="00A80CFB"/>
    <w:rsid w:val="00A90DD1"/>
    <w:rsid w:val="00A9601B"/>
    <w:rsid w:val="00AA3D5A"/>
    <w:rsid w:val="00AB0B22"/>
    <w:rsid w:val="00AB3D6B"/>
    <w:rsid w:val="00AC7F43"/>
    <w:rsid w:val="00AD0032"/>
    <w:rsid w:val="00AD100E"/>
    <w:rsid w:val="00AD1634"/>
    <w:rsid w:val="00AD2B6B"/>
    <w:rsid w:val="00AD5ADE"/>
    <w:rsid w:val="00AE1E36"/>
    <w:rsid w:val="00AF74AA"/>
    <w:rsid w:val="00B006AA"/>
    <w:rsid w:val="00B03C2F"/>
    <w:rsid w:val="00B12E32"/>
    <w:rsid w:val="00B15064"/>
    <w:rsid w:val="00B15B87"/>
    <w:rsid w:val="00B31092"/>
    <w:rsid w:val="00B340A3"/>
    <w:rsid w:val="00B410F5"/>
    <w:rsid w:val="00B418D2"/>
    <w:rsid w:val="00B4249A"/>
    <w:rsid w:val="00B56B7F"/>
    <w:rsid w:val="00B6042B"/>
    <w:rsid w:val="00B6280C"/>
    <w:rsid w:val="00B63AF1"/>
    <w:rsid w:val="00B63BA3"/>
    <w:rsid w:val="00B6605E"/>
    <w:rsid w:val="00B671A4"/>
    <w:rsid w:val="00B72CD4"/>
    <w:rsid w:val="00B73CF1"/>
    <w:rsid w:val="00B85B00"/>
    <w:rsid w:val="00B86042"/>
    <w:rsid w:val="00B90CF3"/>
    <w:rsid w:val="00BA051D"/>
    <w:rsid w:val="00BA7CBF"/>
    <w:rsid w:val="00BB7888"/>
    <w:rsid w:val="00BC44AE"/>
    <w:rsid w:val="00BC4572"/>
    <w:rsid w:val="00BE5AE3"/>
    <w:rsid w:val="00BF132F"/>
    <w:rsid w:val="00C04315"/>
    <w:rsid w:val="00C11B5D"/>
    <w:rsid w:val="00C13235"/>
    <w:rsid w:val="00C13878"/>
    <w:rsid w:val="00C14003"/>
    <w:rsid w:val="00C174F2"/>
    <w:rsid w:val="00C178AC"/>
    <w:rsid w:val="00C244B2"/>
    <w:rsid w:val="00C24F15"/>
    <w:rsid w:val="00C34424"/>
    <w:rsid w:val="00C438E3"/>
    <w:rsid w:val="00C45F6A"/>
    <w:rsid w:val="00C635BD"/>
    <w:rsid w:val="00C654F5"/>
    <w:rsid w:val="00C90BD2"/>
    <w:rsid w:val="00C9210C"/>
    <w:rsid w:val="00C93CE8"/>
    <w:rsid w:val="00C95812"/>
    <w:rsid w:val="00CA1705"/>
    <w:rsid w:val="00CA47A1"/>
    <w:rsid w:val="00CB21EA"/>
    <w:rsid w:val="00CB73D5"/>
    <w:rsid w:val="00CC594C"/>
    <w:rsid w:val="00CD0BBC"/>
    <w:rsid w:val="00CE1520"/>
    <w:rsid w:val="00CE1A54"/>
    <w:rsid w:val="00CE1E15"/>
    <w:rsid w:val="00CE7E96"/>
    <w:rsid w:val="00CF5352"/>
    <w:rsid w:val="00CF5FB6"/>
    <w:rsid w:val="00D02439"/>
    <w:rsid w:val="00D02518"/>
    <w:rsid w:val="00D05F10"/>
    <w:rsid w:val="00D158F3"/>
    <w:rsid w:val="00D1644A"/>
    <w:rsid w:val="00D17454"/>
    <w:rsid w:val="00D21FA8"/>
    <w:rsid w:val="00D33FBC"/>
    <w:rsid w:val="00D4478D"/>
    <w:rsid w:val="00D5044B"/>
    <w:rsid w:val="00D53069"/>
    <w:rsid w:val="00D5600E"/>
    <w:rsid w:val="00D61212"/>
    <w:rsid w:val="00D61E68"/>
    <w:rsid w:val="00D734FE"/>
    <w:rsid w:val="00D7535C"/>
    <w:rsid w:val="00D76302"/>
    <w:rsid w:val="00D76540"/>
    <w:rsid w:val="00D84F13"/>
    <w:rsid w:val="00D901F2"/>
    <w:rsid w:val="00DA5CE2"/>
    <w:rsid w:val="00DB294E"/>
    <w:rsid w:val="00DC2AE7"/>
    <w:rsid w:val="00DD4CDA"/>
    <w:rsid w:val="00DE10E8"/>
    <w:rsid w:val="00DE3C77"/>
    <w:rsid w:val="00E076B1"/>
    <w:rsid w:val="00E1104F"/>
    <w:rsid w:val="00E16FDA"/>
    <w:rsid w:val="00E20622"/>
    <w:rsid w:val="00E2237B"/>
    <w:rsid w:val="00E22E3D"/>
    <w:rsid w:val="00E35F58"/>
    <w:rsid w:val="00E3775E"/>
    <w:rsid w:val="00E37A5C"/>
    <w:rsid w:val="00E4425E"/>
    <w:rsid w:val="00E45BD9"/>
    <w:rsid w:val="00E63758"/>
    <w:rsid w:val="00E64359"/>
    <w:rsid w:val="00E643CC"/>
    <w:rsid w:val="00E6474E"/>
    <w:rsid w:val="00E66FFC"/>
    <w:rsid w:val="00E759D6"/>
    <w:rsid w:val="00E83E18"/>
    <w:rsid w:val="00E84A54"/>
    <w:rsid w:val="00E84A8C"/>
    <w:rsid w:val="00E91D59"/>
    <w:rsid w:val="00E976DE"/>
    <w:rsid w:val="00EA0BED"/>
    <w:rsid w:val="00EA12AF"/>
    <w:rsid w:val="00EA3673"/>
    <w:rsid w:val="00EA57CC"/>
    <w:rsid w:val="00EB38F4"/>
    <w:rsid w:val="00EB3AE9"/>
    <w:rsid w:val="00EB64B7"/>
    <w:rsid w:val="00EC0F83"/>
    <w:rsid w:val="00EC6DB5"/>
    <w:rsid w:val="00ED18F7"/>
    <w:rsid w:val="00ED3BC1"/>
    <w:rsid w:val="00ED58C6"/>
    <w:rsid w:val="00ED785C"/>
    <w:rsid w:val="00EE3187"/>
    <w:rsid w:val="00EE3E91"/>
    <w:rsid w:val="00EE6912"/>
    <w:rsid w:val="00EF499B"/>
    <w:rsid w:val="00F04511"/>
    <w:rsid w:val="00F10C45"/>
    <w:rsid w:val="00F14977"/>
    <w:rsid w:val="00F17943"/>
    <w:rsid w:val="00F360E6"/>
    <w:rsid w:val="00F460B8"/>
    <w:rsid w:val="00F479AA"/>
    <w:rsid w:val="00F50342"/>
    <w:rsid w:val="00F54645"/>
    <w:rsid w:val="00F565CA"/>
    <w:rsid w:val="00F609C4"/>
    <w:rsid w:val="00F656F4"/>
    <w:rsid w:val="00F730D5"/>
    <w:rsid w:val="00F73DA4"/>
    <w:rsid w:val="00F8190F"/>
    <w:rsid w:val="00F822E9"/>
    <w:rsid w:val="00F842CC"/>
    <w:rsid w:val="00F94BF6"/>
    <w:rsid w:val="00F96AB5"/>
    <w:rsid w:val="00FA4F1C"/>
    <w:rsid w:val="00FB055C"/>
    <w:rsid w:val="00FB3750"/>
    <w:rsid w:val="00FB4A08"/>
    <w:rsid w:val="00FC0271"/>
    <w:rsid w:val="00FC0C2A"/>
    <w:rsid w:val="00FD7F8E"/>
    <w:rsid w:val="00FE111D"/>
    <w:rsid w:val="00FF03B2"/>
    <w:rsid w:val="00FF0E6D"/>
    <w:rsid w:val="00FF11E4"/>
    <w:rsid w:val="00FF77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AB04D2"/>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BA12F17"/>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14847"/>
  <w15:docId w15:val="{D61879C7-FE18-4DD3-93CB-A52018B1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Hyperlink"/>
    <w:basedOn w:val="a0"/>
    <w:autoRedefine/>
    <w:qFormat/>
    <w:rPr>
      <w:color w:val="0563C1" w:themeColor="hyperlink"/>
      <w:u w:val="single"/>
    </w:r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2">
    <w:name w:val="修订2"/>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D86F-916D-4BFB-9F72-D5972193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495</cp:revision>
  <cp:lastPrinted>2026-05-18T08:44:00Z</cp:lastPrinted>
  <dcterms:created xsi:type="dcterms:W3CDTF">2024-05-10T10:09:00Z</dcterms:created>
  <dcterms:modified xsi:type="dcterms:W3CDTF">2026-05-18T09:02:00Z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2785F0FEA11643789DF08207673F6E06_13</vt:lpwstr>
  </property>
  <property fmtid="{D5CDD505-2E9C-101B-9397-08002B2CF9AE}" pid="4" name="KSOTemplateDocerSaveRecord">
    <vt:lpwstr>eyJoZGlkIjoiZDVhOWQwNzdmNWY0YzkwMWU5Y2JkMzYzOGE3NzkwMjQiLCJ1c2VySWQiOiIxNjU3MTc3MDg4In0=</vt:lpwstr>
  </property>
</Properties>
</file>