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57D67">
      <w:pPr>
        <w:ind w:left="1760" w:hanging="1760" w:hangingChars="800"/>
        <w:rPr>
          <w:rFonts w:hint="eastAsia" w:ascii="宋体" w:hAnsi="宋体" w:eastAsia="宋体"/>
          <w:lang w:eastAsia="zh"/>
        </w:rPr>
        <w:sectPr>
          <w:pgSz w:w="11906" w:h="16838"/>
          <w:pgMar w:top="1440" w:right="1800" w:bottom="1440" w:left="1800" w:header="851" w:footer="992" w:gutter="0"/>
          <w:cols w:space="425" w:num="2"/>
          <w:docGrid w:type="lines" w:linePitch="312" w:charSpace="0"/>
        </w:sectPr>
      </w:pPr>
      <w:r>
        <w:rPr>
          <w:rFonts w:ascii="宋体" w:hAnsi="宋体" w:eastAsia="宋体"/>
        </w:rPr>
        <w:t>证券代码：</w:t>
      </w:r>
      <w:r>
        <w:rPr>
          <w:rFonts w:hint="eastAsia" w:ascii="宋体" w:hAnsi="宋体" w:eastAsia="宋体"/>
        </w:rPr>
        <w:t xml:space="preserve">600742 </w:t>
      </w:r>
      <w:r>
        <w:rPr>
          <w:rFonts w:hint="eastAsia" w:ascii="宋体" w:hAnsi="宋体" w:eastAsia="宋体"/>
        </w:rPr>
        <w:br w:type="column"/>
      </w:r>
      <w:r>
        <w:rPr>
          <w:rFonts w:hint="eastAsia" w:ascii="宋体" w:hAnsi="宋体" w:eastAsia="宋体"/>
        </w:rPr>
        <w:t>证券</w:t>
      </w:r>
      <w:r>
        <w:rPr>
          <w:rFonts w:ascii="宋体" w:hAnsi="宋体" w:eastAsia="宋体"/>
        </w:rPr>
        <w:t>简称：</w:t>
      </w:r>
      <w:r>
        <w:rPr>
          <w:rFonts w:hint="eastAsia" w:ascii="宋体" w:hAnsi="宋体" w:eastAsia="宋体"/>
        </w:rPr>
        <w:t>富维</w:t>
      </w:r>
      <w:r>
        <w:rPr>
          <w:rFonts w:hint="eastAsia" w:ascii="宋体" w:hAnsi="宋体" w:eastAsia="宋体"/>
          <w:lang w:eastAsia="zh"/>
        </w:rPr>
        <w:t>股份</w:t>
      </w:r>
    </w:p>
    <w:p w14:paraId="0E08CF7B">
      <w:pPr>
        <w:spacing w:line="411" w:lineRule="exact"/>
        <w:jc w:val="center"/>
        <w:rPr>
          <w:rFonts w:hint="eastAsia" w:ascii="宋体" w:hAnsi="宋体" w:eastAsia="宋体" w:cs="宋体"/>
          <w:b/>
          <w:bCs/>
          <w:color w:val="FF0000"/>
          <w:sz w:val="32"/>
          <w:szCs w:val="32"/>
        </w:rPr>
      </w:pPr>
      <w:r>
        <w:rPr>
          <w:rFonts w:hint="eastAsia" w:ascii="宋体" w:hAnsi="宋体" w:eastAsia="宋体" w:cs="宋体"/>
          <w:b/>
          <w:bCs/>
          <w:color w:val="FF0000"/>
          <w:sz w:val="32"/>
          <w:szCs w:val="32"/>
        </w:rPr>
        <w:t>长春富维集团汽车零部件</w:t>
      </w:r>
      <w:r>
        <w:rPr>
          <w:rFonts w:ascii="宋体" w:hAnsi="宋体" w:eastAsia="宋体" w:cs="宋体"/>
          <w:b/>
          <w:bCs/>
          <w:color w:val="FF0000"/>
          <w:sz w:val="32"/>
          <w:szCs w:val="32"/>
        </w:rPr>
        <w:t>股份有限公司</w:t>
      </w:r>
    </w:p>
    <w:p w14:paraId="030C6D37">
      <w:pPr>
        <w:spacing w:line="411" w:lineRule="exact"/>
        <w:jc w:val="center"/>
        <w:rPr>
          <w:rFonts w:hint="eastAsia" w:ascii="宋体" w:hAnsi="宋体" w:eastAsia="宋体"/>
          <w:color w:val="FF0000"/>
          <w:sz w:val="32"/>
          <w:szCs w:val="32"/>
        </w:rPr>
      </w:pPr>
      <w:r>
        <w:rPr>
          <w:rFonts w:hint="eastAsia" w:ascii="宋体" w:hAnsi="宋体" w:eastAsia="宋体" w:cs="宋体"/>
          <w:b/>
          <w:bCs/>
          <w:color w:val="FF0000"/>
          <w:sz w:val="32"/>
          <w:szCs w:val="32"/>
        </w:rPr>
        <w:t>投资者关系活动记录表</w:t>
      </w:r>
    </w:p>
    <w:p w14:paraId="0EC68E0E">
      <w:pPr>
        <w:jc w:val="right"/>
        <w:rPr>
          <w:rFonts w:hint="eastAsia" w:ascii="宋体" w:hAnsi="宋体" w:eastAsia="宋体"/>
          <w:lang w:eastAsia="zh"/>
          <w:woUserID w:val="1"/>
        </w:rPr>
      </w:pPr>
      <w:r>
        <w:rPr>
          <w:rFonts w:ascii="宋体" w:hAnsi="宋体" w:eastAsia="宋体"/>
        </w:rPr>
        <w:t>编号：202</w:t>
      </w:r>
      <w:r>
        <w:rPr>
          <w:rFonts w:hint="eastAsia" w:ascii="宋体" w:hAnsi="宋体" w:eastAsia="宋体"/>
          <w:lang w:eastAsia="zh"/>
        </w:rPr>
        <w:t>6</w:t>
      </w:r>
      <w:r>
        <w:rPr>
          <w:rFonts w:ascii="宋体" w:hAnsi="宋体" w:eastAsia="宋体"/>
        </w:rPr>
        <w:t>-00</w:t>
      </w:r>
      <w:r>
        <w:rPr>
          <w:rFonts w:hint="eastAsia" w:ascii="宋体" w:hAnsi="宋体" w:eastAsia="宋体"/>
          <w:lang w:eastAsia="zh"/>
          <w:woUserID w:val="1"/>
        </w:rPr>
        <w:t>4</w:t>
      </w:r>
    </w:p>
    <w:tbl>
      <w:tblPr>
        <w:tblStyle w:val="1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1F4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24475F8">
            <w:pPr>
              <w:spacing w:after="0" w:line="360" w:lineRule="auto"/>
              <w:jc w:val="center"/>
              <w:rPr>
                <w:rFonts w:hint="eastAsia" w:ascii="宋体" w:hAnsi="宋体" w:eastAsia="宋体"/>
                <w:sz w:val="24"/>
              </w:rPr>
            </w:pPr>
            <w:r>
              <w:rPr>
                <w:rFonts w:hint="eastAsia" w:ascii="宋体" w:hAnsi="宋体" w:eastAsia="宋体"/>
                <w:sz w:val="24"/>
              </w:rPr>
              <w:t>投资者关系活动类别</w:t>
            </w:r>
          </w:p>
        </w:tc>
        <w:tc>
          <w:tcPr>
            <w:tcW w:w="6520" w:type="dxa"/>
          </w:tcPr>
          <w:p w14:paraId="476E957E">
            <w:pPr>
              <w:spacing w:after="0" w:line="360" w:lineRule="auto"/>
              <w:ind w:right="1100" w:firstLine="240" w:firstLineChars="100"/>
              <w:rPr>
                <w:rFonts w:hint="eastAsia" w:ascii="宋体" w:hAnsi="宋体" w:eastAsia="宋体"/>
                <w:sz w:val="24"/>
              </w:rPr>
            </w:pPr>
            <w:r>
              <w:rPr>
                <w:rFonts w:hint="eastAsia" w:ascii="Segoe UI Symbol" w:hAnsi="Segoe UI Symbol" w:eastAsia="宋体" w:cs="Segoe UI Symbol"/>
                <w:sz w:val="24"/>
                <w:lang w:eastAsia="zh"/>
              </w:rPr>
              <w:t>□</w:t>
            </w:r>
            <w:r>
              <w:rPr>
                <w:rFonts w:ascii="宋体" w:hAnsi="宋体" w:eastAsia="宋体"/>
                <w:sz w:val="24"/>
              </w:rPr>
              <w:t xml:space="preserve">特定对象调研          □分析师会议  </w:t>
            </w:r>
          </w:p>
          <w:p w14:paraId="7869D9E9">
            <w:pPr>
              <w:spacing w:after="0" w:line="360" w:lineRule="auto"/>
              <w:ind w:right="1100" w:firstLine="240" w:firstLineChars="100"/>
              <w:rPr>
                <w:rFonts w:hint="eastAsia" w:ascii="宋体" w:hAnsi="宋体" w:eastAsia="宋体"/>
                <w:sz w:val="24"/>
              </w:rPr>
            </w:pPr>
            <w:r>
              <w:rPr>
                <w:rFonts w:hint="eastAsia" w:ascii="宋体" w:hAnsi="宋体" w:eastAsia="宋体"/>
                <w:sz w:val="24"/>
              </w:rPr>
              <w:t xml:space="preserve">□媒体采访              □业绩说明会  </w:t>
            </w:r>
          </w:p>
          <w:p w14:paraId="0FD9C95E">
            <w:pPr>
              <w:spacing w:after="0" w:line="360" w:lineRule="auto"/>
              <w:ind w:right="1100" w:firstLine="240" w:firstLineChars="100"/>
              <w:rPr>
                <w:rFonts w:hint="eastAsia" w:ascii="宋体" w:hAnsi="宋体" w:eastAsia="宋体"/>
                <w:sz w:val="24"/>
              </w:rPr>
            </w:pPr>
            <w:r>
              <w:rPr>
                <w:rFonts w:hint="eastAsia" w:ascii="宋体" w:hAnsi="宋体" w:eastAsia="宋体"/>
                <w:sz w:val="24"/>
              </w:rPr>
              <w:t xml:space="preserve">□新闻发布会            </w:t>
            </w:r>
            <w:r>
              <w:rPr>
                <w:rFonts w:hint="eastAsia" w:ascii="宋体" w:hAnsi="宋体" w:eastAsia="宋体"/>
                <w:sz w:val="24"/>
                <w:lang w:eastAsia="zh"/>
              </w:rPr>
              <w:t>☑</w:t>
            </w:r>
            <w:r>
              <w:rPr>
                <w:rFonts w:hint="eastAsia" w:ascii="宋体" w:hAnsi="宋体" w:eastAsia="宋体"/>
                <w:sz w:val="24"/>
              </w:rPr>
              <w:t xml:space="preserve">路演活动  </w:t>
            </w:r>
          </w:p>
          <w:p w14:paraId="310EC93B">
            <w:pPr>
              <w:spacing w:after="0" w:line="360" w:lineRule="auto"/>
              <w:ind w:right="880" w:firstLine="240" w:firstLineChars="100"/>
              <w:rPr>
                <w:rFonts w:hint="eastAsia" w:ascii="宋体" w:hAnsi="宋体" w:eastAsia="宋体"/>
                <w:sz w:val="24"/>
              </w:rPr>
            </w:pPr>
            <w:r>
              <w:rPr>
                <w:rFonts w:hint="eastAsia" w:ascii="Segoe UI Symbol" w:hAnsi="Segoe UI Symbol" w:eastAsia="宋体" w:cs="Segoe UI Symbol"/>
                <w:sz w:val="24"/>
                <w:lang w:eastAsia="zh"/>
              </w:rPr>
              <w:t>□</w:t>
            </w:r>
            <w:r>
              <w:rPr>
                <w:rFonts w:hint="eastAsia" w:ascii="宋体" w:hAnsi="宋体" w:eastAsia="宋体"/>
                <w:sz w:val="24"/>
              </w:rPr>
              <w:t>现场参观              □其他</w:t>
            </w:r>
          </w:p>
        </w:tc>
      </w:tr>
      <w:tr w14:paraId="5BCB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E932060">
            <w:pPr>
              <w:spacing w:after="0" w:line="360" w:lineRule="auto"/>
              <w:jc w:val="center"/>
              <w:rPr>
                <w:rFonts w:hint="eastAsia" w:ascii="宋体" w:hAnsi="宋体" w:eastAsia="宋体"/>
                <w:sz w:val="24"/>
              </w:rPr>
            </w:pPr>
            <w:r>
              <w:rPr>
                <w:rFonts w:hint="eastAsia" w:ascii="宋体" w:hAnsi="宋体" w:eastAsia="宋体"/>
                <w:sz w:val="24"/>
              </w:rPr>
              <w:t>参与单位名称及人员姓名</w:t>
            </w:r>
          </w:p>
        </w:tc>
        <w:tc>
          <w:tcPr>
            <w:tcW w:w="6520" w:type="dxa"/>
          </w:tcPr>
          <w:p w14:paraId="6950CCC1">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北京交叉智能私募 邓丽</w:t>
            </w:r>
          </w:p>
          <w:p w14:paraId="7014B8A2">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瑞景家办 李敬景</w:t>
            </w:r>
          </w:p>
          <w:p w14:paraId="64B82A13">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卓里奇私募 于冯冯</w:t>
            </w:r>
          </w:p>
          <w:p w14:paraId="6C381760">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山西证券 刘斌</w:t>
            </w:r>
          </w:p>
          <w:p w14:paraId="056A01EA">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国元证券 刘乐</w:t>
            </w:r>
          </w:p>
          <w:p w14:paraId="2571C0E9">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上海证券 仇百良</w:t>
            </w:r>
          </w:p>
          <w:p w14:paraId="40B65A9F">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西南证券 郑连生</w:t>
            </w:r>
          </w:p>
          <w:p w14:paraId="55A6B6D8">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路演时代 陈旺</w:t>
            </w:r>
          </w:p>
          <w:p w14:paraId="13A4714F">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中国企业报 叶伟</w:t>
            </w:r>
          </w:p>
          <w:p w14:paraId="5917756C">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华夏时报 李昌</w:t>
            </w:r>
          </w:p>
          <w:p w14:paraId="018AE4E6">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新华网 孟汉霄</w:t>
            </w:r>
          </w:p>
          <w:p w14:paraId="27EC0933">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华福证券 孟志达</w:t>
            </w:r>
          </w:p>
          <w:p w14:paraId="15EB7CE7">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华林证券 徐勉</w:t>
            </w:r>
          </w:p>
          <w:p w14:paraId="2D21ED85">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海螺水泥 龚海</w:t>
            </w:r>
          </w:p>
          <w:p w14:paraId="44EC57DC">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兴业证券 张科</w:t>
            </w:r>
          </w:p>
          <w:p w14:paraId="5895ABB2">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鹏华基金  卫正</w:t>
            </w:r>
          </w:p>
          <w:p w14:paraId="26D37817">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和同基金 常鹏飞</w:t>
            </w:r>
          </w:p>
          <w:p w14:paraId="3A312C8B">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财东基金 刘娅琴</w:t>
            </w:r>
          </w:p>
          <w:p w14:paraId="5B354DF7">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飞旋兄弟 张丽娟</w:t>
            </w:r>
          </w:p>
          <w:p w14:paraId="245D37E2">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普赞普 李稳科</w:t>
            </w:r>
          </w:p>
          <w:p w14:paraId="7F61D229">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易知投资 刘俊</w:t>
            </w:r>
          </w:p>
          <w:p w14:paraId="1EF5DFBF">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凡德投资 高原源</w:t>
            </w:r>
          </w:p>
          <w:p w14:paraId="0B547BB7">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腾股投资 倪志刚</w:t>
            </w:r>
          </w:p>
          <w:p w14:paraId="425F69DF">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信诚财富 倪晓燕</w:t>
            </w:r>
          </w:p>
          <w:p w14:paraId="37B9122C">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量化投资 窦长民</w:t>
            </w:r>
          </w:p>
          <w:p w14:paraId="5E23FD49">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大虎资本 张亦田</w:t>
            </w:r>
          </w:p>
          <w:p w14:paraId="51287DD9">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华金证券 方彦辉</w:t>
            </w:r>
          </w:p>
          <w:p w14:paraId="02FC859E">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山西证券 王帅钊</w:t>
            </w:r>
          </w:p>
          <w:p w14:paraId="1613A9D5">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唐丰投资 易千</w:t>
            </w:r>
          </w:p>
          <w:p w14:paraId="6DFCDD2E">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万和证券 刘云峰</w:t>
            </w:r>
          </w:p>
          <w:p w14:paraId="205C23DE">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四月天基金 徐宗强</w:t>
            </w:r>
          </w:p>
          <w:p w14:paraId="3A4487B0">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乾元名怡投资 邵籽杰</w:t>
            </w:r>
          </w:p>
          <w:p w14:paraId="2C58B003">
            <w:pPr>
              <w:spacing w:after="0" w:line="360" w:lineRule="auto"/>
              <w:rPr>
                <w:rFonts w:hint="eastAsia" w:ascii="宋体" w:hAnsi="宋体" w:eastAsia="宋体"/>
                <w:sz w:val="24"/>
                <w:lang w:eastAsia="zh"/>
                <w:woUserID w:val="1"/>
              </w:rPr>
            </w:pPr>
            <w:r>
              <w:rPr>
                <w:rFonts w:hint="eastAsia" w:ascii="宋体" w:hAnsi="宋体" w:eastAsia="宋体"/>
                <w:sz w:val="24"/>
                <w:lang w:eastAsia="zh"/>
                <w:woUserID w:val="1"/>
              </w:rPr>
              <w:t>含章基金 李贵林 刘微 黄如鹏</w:t>
            </w:r>
          </w:p>
        </w:tc>
      </w:tr>
      <w:tr w14:paraId="2231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9712AC0">
            <w:pPr>
              <w:spacing w:after="0" w:line="360" w:lineRule="auto"/>
              <w:jc w:val="center"/>
              <w:rPr>
                <w:rFonts w:hint="eastAsia" w:ascii="宋体" w:hAnsi="宋体" w:eastAsia="宋体"/>
                <w:sz w:val="24"/>
              </w:rPr>
            </w:pPr>
            <w:r>
              <w:rPr>
                <w:rFonts w:hint="eastAsia" w:ascii="宋体" w:hAnsi="宋体" w:eastAsia="宋体"/>
                <w:sz w:val="24"/>
              </w:rPr>
              <w:t>时间</w:t>
            </w:r>
          </w:p>
        </w:tc>
        <w:tc>
          <w:tcPr>
            <w:tcW w:w="6520" w:type="dxa"/>
            <w:vAlign w:val="center"/>
          </w:tcPr>
          <w:p w14:paraId="4581DE11">
            <w:pPr>
              <w:spacing w:after="0" w:line="360" w:lineRule="auto"/>
              <w:jc w:val="both"/>
              <w:rPr>
                <w:rFonts w:hint="eastAsia" w:ascii="宋体" w:hAnsi="宋体" w:eastAsia="宋体"/>
                <w:sz w:val="24"/>
                <w:lang w:eastAsia="zh"/>
              </w:rPr>
            </w:pPr>
            <w:r>
              <w:rPr>
                <w:rFonts w:hint="eastAsia" w:ascii="宋体" w:hAnsi="宋体" w:eastAsia="宋体"/>
                <w:sz w:val="24"/>
              </w:rPr>
              <w:t>202</w:t>
            </w:r>
            <w:r>
              <w:rPr>
                <w:rFonts w:hint="eastAsia" w:ascii="宋体" w:hAnsi="宋体" w:eastAsia="宋体"/>
                <w:sz w:val="24"/>
                <w:lang w:eastAsia="zh"/>
              </w:rPr>
              <w:t>6</w:t>
            </w:r>
            <w:r>
              <w:rPr>
                <w:rFonts w:hint="eastAsia" w:ascii="宋体" w:hAnsi="宋体" w:eastAsia="宋体"/>
                <w:sz w:val="24"/>
              </w:rPr>
              <w:t>年</w:t>
            </w:r>
            <w:r>
              <w:rPr>
                <w:rFonts w:hint="eastAsia" w:ascii="宋体" w:hAnsi="宋体" w:eastAsia="宋体"/>
                <w:sz w:val="24"/>
                <w:lang w:eastAsia="zh"/>
                <w:woUserID w:val="1"/>
              </w:rPr>
              <w:t>5</w:t>
            </w:r>
            <w:r>
              <w:rPr>
                <w:rFonts w:hint="eastAsia" w:ascii="宋体" w:hAnsi="宋体" w:eastAsia="宋体"/>
                <w:sz w:val="24"/>
              </w:rPr>
              <w:t>月</w:t>
            </w:r>
            <w:r>
              <w:rPr>
                <w:rFonts w:hint="eastAsia" w:ascii="宋体" w:hAnsi="宋体" w:eastAsia="宋体"/>
                <w:sz w:val="24"/>
                <w:lang w:eastAsia="zh"/>
                <w:woUserID w:val="1"/>
              </w:rPr>
              <w:t>15</w:t>
            </w:r>
            <w:r>
              <w:rPr>
                <w:rFonts w:hint="eastAsia" w:ascii="宋体" w:hAnsi="宋体" w:eastAsia="宋体"/>
                <w:sz w:val="24"/>
              </w:rPr>
              <w:t>日</w:t>
            </w:r>
            <w:r>
              <w:rPr>
                <w:rFonts w:hint="eastAsia" w:ascii="宋体" w:hAnsi="宋体" w:eastAsia="宋体"/>
                <w:sz w:val="24"/>
                <w:lang w:eastAsia="zh"/>
              </w:rPr>
              <w:t>1</w:t>
            </w:r>
            <w:r>
              <w:rPr>
                <w:rFonts w:hint="eastAsia" w:ascii="宋体" w:hAnsi="宋体" w:eastAsia="宋体"/>
                <w:sz w:val="24"/>
                <w:lang w:eastAsia="zh"/>
                <w:woUserID w:val="1"/>
              </w:rPr>
              <w:t>3</w:t>
            </w:r>
            <w:r>
              <w:rPr>
                <w:rFonts w:hint="eastAsia" w:ascii="宋体" w:hAnsi="宋体" w:eastAsia="宋体"/>
                <w:sz w:val="24"/>
              </w:rPr>
              <w:t>:</w:t>
            </w:r>
            <w:r>
              <w:rPr>
                <w:rFonts w:hint="eastAsia" w:ascii="宋体" w:hAnsi="宋体" w:eastAsia="宋体"/>
                <w:sz w:val="24"/>
                <w:lang w:eastAsia="zh"/>
              </w:rPr>
              <w:t>30</w:t>
            </w:r>
            <w:r>
              <w:rPr>
                <w:rFonts w:hint="eastAsia" w:ascii="宋体" w:hAnsi="宋体" w:eastAsia="宋体"/>
                <w:sz w:val="24"/>
              </w:rPr>
              <w:t>-1</w:t>
            </w:r>
            <w:r>
              <w:rPr>
                <w:rFonts w:hint="eastAsia" w:ascii="宋体" w:hAnsi="宋体" w:eastAsia="宋体"/>
                <w:sz w:val="24"/>
                <w:lang w:eastAsia="zh"/>
                <w:woUserID w:val="1"/>
              </w:rPr>
              <w:t>4</w:t>
            </w:r>
            <w:r>
              <w:rPr>
                <w:rFonts w:hint="eastAsia" w:ascii="宋体" w:hAnsi="宋体" w:eastAsia="宋体"/>
                <w:sz w:val="24"/>
              </w:rPr>
              <w:t>:</w:t>
            </w:r>
            <w:r>
              <w:rPr>
                <w:rFonts w:hint="eastAsia" w:ascii="宋体" w:hAnsi="宋体" w:eastAsia="宋体"/>
                <w:sz w:val="24"/>
                <w:lang w:eastAsia="zh"/>
              </w:rPr>
              <w:t>30</w:t>
            </w:r>
          </w:p>
        </w:tc>
      </w:tr>
      <w:tr w14:paraId="0FF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016B692">
            <w:pPr>
              <w:spacing w:after="0" w:line="360" w:lineRule="auto"/>
              <w:jc w:val="center"/>
              <w:rPr>
                <w:rFonts w:hint="eastAsia" w:ascii="宋体" w:hAnsi="宋体" w:eastAsia="宋体"/>
                <w:sz w:val="24"/>
              </w:rPr>
            </w:pPr>
            <w:r>
              <w:rPr>
                <w:rFonts w:hint="eastAsia" w:ascii="宋体" w:hAnsi="宋体" w:eastAsia="宋体"/>
                <w:sz w:val="24"/>
              </w:rPr>
              <w:t>地点</w:t>
            </w:r>
          </w:p>
        </w:tc>
        <w:tc>
          <w:tcPr>
            <w:tcW w:w="6520" w:type="dxa"/>
            <w:vAlign w:val="center"/>
          </w:tcPr>
          <w:p w14:paraId="1266E206">
            <w:pPr>
              <w:spacing w:after="0" w:line="360" w:lineRule="auto"/>
              <w:jc w:val="both"/>
              <w:rPr>
                <w:rFonts w:hint="eastAsia" w:ascii="宋体" w:hAnsi="宋体" w:eastAsia="宋体"/>
                <w:sz w:val="24"/>
                <w:lang w:eastAsia="zh"/>
                <w:woUserID w:val="1"/>
              </w:rPr>
            </w:pPr>
            <w:r>
              <w:rPr>
                <w:rFonts w:hint="eastAsia" w:ascii="宋体" w:hAnsi="宋体" w:eastAsia="宋体"/>
                <w:sz w:val="24"/>
                <w:lang w:eastAsia="zh"/>
                <w:woUserID w:val="1"/>
              </w:rPr>
              <w:t>北京市丰台区右安门外大街2号院B座一层-梧桐会客厅</w:t>
            </w:r>
          </w:p>
        </w:tc>
      </w:tr>
      <w:tr w14:paraId="056D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9206931">
            <w:pPr>
              <w:spacing w:after="0" w:line="360" w:lineRule="auto"/>
              <w:jc w:val="center"/>
              <w:rPr>
                <w:rFonts w:hint="eastAsia" w:ascii="宋体" w:hAnsi="宋体" w:eastAsia="宋体"/>
                <w:sz w:val="24"/>
              </w:rPr>
            </w:pPr>
            <w:r>
              <w:rPr>
                <w:rFonts w:ascii="宋体" w:hAnsi="宋体" w:eastAsia="宋体"/>
                <w:sz w:val="24"/>
              </w:rPr>
              <w:t>上市公司接待人员姓名</w:t>
            </w:r>
          </w:p>
        </w:tc>
        <w:tc>
          <w:tcPr>
            <w:tcW w:w="6520" w:type="dxa"/>
            <w:vAlign w:val="center"/>
          </w:tcPr>
          <w:p w14:paraId="78879BB4">
            <w:pPr>
              <w:spacing w:after="0" w:line="360" w:lineRule="auto"/>
              <w:jc w:val="both"/>
              <w:rPr>
                <w:rFonts w:hint="eastAsia" w:ascii="宋体" w:hAnsi="宋体" w:eastAsia="宋体"/>
                <w:sz w:val="24"/>
                <w:lang w:eastAsia="zh"/>
              </w:rPr>
            </w:pPr>
            <w:r>
              <w:rPr>
                <w:rFonts w:hint="eastAsia" w:ascii="宋体" w:hAnsi="宋体" w:eastAsia="宋体"/>
                <w:sz w:val="24"/>
              </w:rPr>
              <w:t>公司</w:t>
            </w:r>
            <w:r>
              <w:rPr>
                <w:rFonts w:hint="eastAsia" w:ascii="宋体" w:hAnsi="宋体" w:eastAsia="宋体"/>
                <w:sz w:val="24"/>
                <w:lang w:eastAsia="zh"/>
              </w:rPr>
              <w:t>董事会办公室股权投资专员 李丹妮</w:t>
            </w:r>
          </w:p>
        </w:tc>
      </w:tr>
      <w:tr w14:paraId="5BD1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1980" w:type="dxa"/>
            <w:vAlign w:val="center"/>
          </w:tcPr>
          <w:p w14:paraId="4D24D9ED">
            <w:pPr>
              <w:spacing w:after="0" w:line="360" w:lineRule="auto"/>
              <w:jc w:val="center"/>
              <w:rPr>
                <w:rFonts w:hint="eastAsia" w:ascii="宋体" w:hAnsi="宋体" w:eastAsia="宋体"/>
                <w:sz w:val="24"/>
              </w:rPr>
            </w:pPr>
            <w:r>
              <w:rPr>
                <w:rFonts w:hint="eastAsia" w:ascii="宋体" w:hAnsi="宋体" w:eastAsia="宋体"/>
                <w:sz w:val="24"/>
              </w:rPr>
              <w:t>投资者关系活动主要内容介绍</w:t>
            </w:r>
          </w:p>
        </w:tc>
        <w:tc>
          <w:tcPr>
            <w:tcW w:w="6520" w:type="dxa"/>
            <w:vAlign w:val="center"/>
          </w:tcPr>
          <w:p w14:paraId="19C943F3">
            <w:pPr>
              <w:spacing w:after="0" w:line="360" w:lineRule="auto"/>
              <w:ind w:firstLine="1682" w:firstLineChars="700"/>
              <w:jc w:val="both"/>
              <w:rPr>
                <w:rFonts w:hint="eastAsia" w:ascii="宋体" w:hAnsi="宋体" w:eastAsia="宋体"/>
                <w:b/>
                <w:bCs/>
                <w:sz w:val="24"/>
              </w:rPr>
            </w:pPr>
            <w:r>
              <w:rPr>
                <w:rFonts w:hint="eastAsia" w:ascii="宋体" w:hAnsi="宋体" w:eastAsia="宋体"/>
                <w:b/>
                <w:bCs/>
                <w:sz w:val="24"/>
              </w:rPr>
              <w:t>投资者关系活动主要内容</w:t>
            </w:r>
          </w:p>
          <w:p w14:paraId="59407580">
            <w:pPr>
              <w:widowControl/>
              <w:spacing w:after="0" w:line="240" w:lineRule="auto"/>
              <w:jc w:val="both"/>
              <w:rPr>
                <w:rFonts w:hint="eastAsia" w:ascii="宋体" w:hAnsi="宋体" w:eastAsia="宋体"/>
                <w:b/>
                <w:bCs/>
                <w:sz w:val="24"/>
              </w:rPr>
            </w:pPr>
            <w:r>
              <w:rPr>
                <w:rFonts w:hint="eastAsia" w:ascii="宋体" w:hAnsi="宋体" w:eastAsia="宋体"/>
                <w:b/>
                <w:bCs/>
                <w:sz w:val="24"/>
              </w:rPr>
              <w:t>问题一：请介绍一下公司</w:t>
            </w:r>
            <w:r>
              <w:rPr>
                <w:rFonts w:hint="eastAsia" w:ascii="宋体" w:hAnsi="宋体" w:eastAsia="宋体"/>
                <w:b/>
                <w:bCs/>
                <w:sz w:val="24"/>
                <w:lang w:eastAsia="zh"/>
                <w:woUserID w:val="1"/>
              </w:rPr>
              <w:t>镁合金业务</w:t>
            </w:r>
            <w:r>
              <w:rPr>
                <w:rFonts w:hint="eastAsia" w:ascii="宋体" w:hAnsi="宋体" w:eastAsia="宋体"/>
                <w:b/>
                <w:bCs/>
                <w:sz w:val="24"/>
              </w:rPr>
              <w:t>。</w:t>
            </w:r>
          </w:p>
          <w:p w14:paraId="73DEDF1E">
            <w:pPr>
              <w:spacing w:after="0" w:line="360" w:lineRule="auto"/>
              <w:ind w:left="0" w:leftChars="0" w:firstLine="480" w:firstLineChars="200"/>
              <w:jc w:val="both"/>
              <w:rPr>
                <w:rFonts w:hint="eastAsia" w:ascii="宋体" w:hAnsi="宋体" w:eastAsia="宋体"/>
                <w:b w:val="0"/>
                <w:bCs w:val="0"/>
                <w:sz w:val="24"/>
                <w:lang w:val="en-US" w:eastAsia="zh"/>
                <w:woUserID w:val="1"/>
              </w:rPr>
            </w:pPr>
            <w:r>
              <w:rPr>
                <w:rFonts w:hint="eastAsia" w:ascii="宋体" w:hAnsi="宋体" w:eastAsia="宋体"/>
                <w:b/>
                <w:bCs/>
                <w:sz w:val="24"/>
                <w:lang w:eastAsia="zh"/>
                <w:woUserID w:val="1"/>
              </w:rPr>
              <w:t>答复：</w:t>
            </w:r>
            <w:r>
              <w:rPr>
                <w:rFonts w:hint="eastAsia" w:ascii="宋体" w:hAnsi="宋体" w:eastAsia="宋体"/>
                <w:b w:val="0"/>
                <w:bCs w:val="0"/>
                <w:sz w:val="24"/>
                <w:lang w:eastAsia="zh"/>
                <w:woUserID w:val="1"/>
              </w:rPr>
              <w:t>镁合金业务系富维“十五五”战略规划重点发展项目，</w:t>
            </w:r>
            <w:r>
              <w:rPr>
                <w:rFonts w:hint="eastAsia" w:ascii="宋体" w:hAnsi="宋体" w:eastAsia="宋体"/>
                <w:b w:val="0"/>
                <w:bCs w:val="0"/>
                <w:sz w:val="24"/>
                <w:lang w:val="en-US" w:eastAsia="zh-CN"/>
                <w:woUserID w:val="1"/>
              </w:rPr>
              <w:t>公司持续推进轻量化材料落地，开展镁合金轻量化项目，拓展行业发展方向</w:t>
            </w:r>
            <w:r>
              <w:rPr>
                <w:rFonts w:hint="eastAsia" w:ascii="宋体" w:hAnsi="宋体" w:eastAsia="宋体"/>
                <w:b w:val="0"/>
                <w:bCs w:val="0"/>
                <w:sz w:val="24"/>
                <w:lang w:val="en-US" w:eastAsia="zh"/>
                <w:woUserID w:val="1"/>
              </w:rPr>
              <w:t>。公司采用</w:t>
            </w:r>
            <w:r>
              <w:rPr>
                <w:rFonts w:hint="eastAsia" w:ascii="宋体" w:hAnsi="宋体" w:eastAsia="宋体"/>
                <w:b w:val="0"/>
                <w:bCs w:val="0"/>
                <w:sz w:val="24"/>
                <w:lang w:val="en-US" w:eastAsia="zh-CN"/>
                <w:woUserID w:val="1"/>
              </w:rPr>
              <w:t>镁合金半固态</w:t>
            </w:r>
            <w:r>
              <w:rPr>
                <w:rFonts w:hint="eastAsia" w:ascii="宋体" w:hAnsi="宋体" w:eastAsia="宋体"/>
                <w:b w:val="0"/>
                <w:bCs w:val="0"/>
                <w:sz w:val="24"/>
                <w:lang w:val="en-US" w:eastAsia="zh"/>
                <w:woUserID w:val="1"/>
              </w:rPr>
              <w:t>注射</w:t>
            </w:r>
            <w:r>
              <w:rPr>
                <w:rFonts w:hint="eastAsia" w:ascii="宋体" w:hAnsi="宋体" w:eastAsia="宋体"/>
                <w:b w:val="0"/>
                <w:bCs w:val="0"/>
                <w:sz w:val="24"/>
                <w:lang w:val="en-US" w:eastAsia="zh-CN"/>
                <w:woUserID w:val="1"/>
              </w:rPr>
              <w:t>技术实现核心部件量产，通过工艺优化与国产材料替代，显著提升了核心产品竞争力与成本优势</w:t>
            </w:r>
            <w:r>
              <w:rPr>
                <w:rFonts w:hint="eastAsia" w:ascii="宋体" w:hAnsi="宋体" w:eastAsia="宋体"/>
                <w:b w:val="0"/>
                <w:bCs w:val="0"/>
                <w:sz w:val="24"/>
                <w:lang w:val="en-US" w:eastAsia="zh"/>
                <w:woUserID w:val="1"/>
              </w:rPr>
              <w:t>。目前已经按照计划节点实现相关支架类产品量产。</w:t>
            </w:r>
          </w:p>
          <w:p w14:paraId="18E8A07F">
            <w:pPr>
              <w:spacing w:after="0" w:line="360" w:lineRule="auto"/>
              <w:ind w:left="0" w:leftChars="0" w:firstLine="480" w:firstLineChars="200"/>
              <w:jc w:val="both"/>
              <w:rPr>
                <w:rFonts w:hint="eastAsia" w:ascii="宋体" w:hAnsi="宋体" w:eastAsia="宋体"/>
                <w:b w:val="0"/>
                <w:bCs w:val="0"/>
                <w:sz w:val="24"/>
                <w:lang w:eastAsia="zh"/>
                <w:woUserID w:val="1"/>
              </w:rPr>
            </w:pPr>
            <w:r>
              <w:rPr>
                <w:rFonts w:hint="eastAsia" w:ascii="宋体" w:hAnsi="宋体" w:eastAsia="宋体"/>
                <w:b w:val="0"/>
                <w:bCs w:val="0"/>
                <w:sz w:val="24"/>
                <w:lang w:val="en-US" w:eastAsia="zh"/>
                <w:woUserID w:val="1"/>
              </w:rPr>
              <w:t>2026年，公司</w:t>
            </w:r>
            <w:r>
              <w:rPr>
                <w:rFonts w:ascii="宋体" w:hAnsi="宋体" w:eastAsia="宋体" w:cs="宋体"/>
                <w:sz w:val="24"/>
                <w:szCs w:val="24"/>
                <w:woUserID w:val="1"/>
              </w:rPr>
              <w:t>协同中国一汽研发总院</w:t>
            </w:r>
            <w:r>
              <w:rPr>
                <w:rFonts w:hint="eastAsia" w:ascii="宋体" w:hAnsi="宋体" w:eastAsia="宋体" w:cs="宋体"/>
                <w:sz w:val="24"/>
                <w:szCs w:val="24"/>
                <w:lang w:eastAsia="zh"/>
                <w:woUserID w:val="1"/>
              </w:rPr>
              <w:t>，</w:t>
            </w:r>
            <w:r>
              <w:rPr>
                <w:rFonts w:ascii="宋体" w:hAnsi="宋体" w:eastAsia="宋体" w:cs="宋体"/>
                <w:sz w:val="24"/>
                <w:szCs w:val="24"/>
                <w:woUserID w:val="1"/>
              </w:rPr>
              <w:t>联合开发镁合金座椅骨架、扶手骨架、仪表板支架等多款产品。首套半固态成型工艺镁合金座椅骨架核心部件已完成总成装配，进入主机厂台架验证阶段。该产品将19个钢结构零件集成为4个镁合金零件，替代部分降重达26%。</w:t>
            </w:r>
            <w:r>
              <w:rPr>
                <w:rFonts w:hint="eastAsia" w:ascii="宋体" w:hAnsi="宋体" w:eastAsia="宋体"/>
                <w:b w:val="0"/>
                <w:bCs w:val="0"/>
                <w:sz w:val="24"/>
                <w:lang w:val="en-US" w:eastAsia="zh"/>
                <w:woUserID w:val="1"/>
              </w:rPr>
              <w:t>后续公司将继续有序推进其他各类产品开发，并持续进行技术升级及市场推广。</w:t>
            </w:r>
          </w:p>
          <w:p w14:paraId="2F61D851">
            <w:pPr>
              <w:spacing w:after="0" w:line="360" w:lineRule="auto"/>
              <w:jc w:val="both"/>
              <w:rPr>
                <w:rFonts w:hint="eastAsia" w:ascii="宋体" w:hAnsi="宋体" w:eastAsia="宋体"/>
                <w:b/>
                <w:bCs/>
                <w:sz w:val="24"/>
                <w:lang w:eastAsia="zh"/>
                <w:woUserID w:val="1"/>
              </w:rPr>
            </w:pPr>
            <w:r>
              <w:rPr>
                <w:rFonts w:hint="eastAsia" w:ascii="宋体" w:hAnsi="宋体" w:eastAsia="宋体"/>
                <w:b/>
                <w:bCs/>
                <w:sz w:val="24"/>
              </w:rPr>
              <w:t>问题二：</w:t>
            </w:r>
            <w:r>
              <w:rPr>
                <w:rFonts w:hint="eastAsia" w:ascii="宋体" w:hAnsi="宋体" w:eastAsia="宋体"/>
                <w:b/>
                <w:bCs/>
                <w:sz w:val="24"/>
                <w:lang w:eastAsia="zh"/>
                <w:woUserID w:val="1"/>
              </w:rPr>
              <w:t>请问公司与富奥股份，是否存在竞争关系？</w:t>
            </w:r>
          </w:p>
          <w:p w14:paraId="03F264C0">
            <w:pPr>
              <w:spacing w:after="0" w:line="360" w:lineRule="auto"/>
              <w:ind w:firstLine="480" w:firstLineChars="200"/>
              <w:jc w:val="both"/>
              <w:rPr>
                <w:rFonts w:hint="eastAsia" w:ascii="宋体" w:hAnsi="宋体" w:eastAsia="宋体"/>
                <w:b w:val="0"/>
                <w:bCs w:val="0"/>
                <w:sz w:val="24"/>
                <w:lang w:val="en-US" w:eastAsia="zh"/>
                <w:woUserID w:val="1"/>
              </w:rPr>
            </w:pPr>
            <w:r>
              <w:rPr>
                <w:rFonts w:hint="eastAsia" w:ascii="宋体" w:hAnsi="宋体" w:eastAsia="宋体"/>
                <w:b/>
                <w:bCs/>
                <w:sz w:val="24"/>
              </w:rPr>
              <w:t>答复：</w:t>
            </w:r>
            <w:r>
              <w:rPr>
                <w:rFonts w:hint="eastAsia" w:ascii="宋体" w:hAnsi="宋体" w:eastAsia="宋体"/>
                <w:b w:val="0"/>
                <w:bCs w:val="0"/>
                <w:sz w:val="24"/>
                <w:lang w:eastAsia="zh"/>
                <w:woUserID w:val="1"/>
              </w:rPr>
              <w:t>公司</w:t>
            </w:r>
            <w:r>
              <w:rPr>
                <w:rFonts w:ascii="宋体" w:hAnsi="宋体" w:eastAsia="宋体" w:cs="宋体"/>
                <w:sz w:val="24"/>
                <w:szCs w:val="24"/>
                <w:woUserID w:val="1"/>
              </w:rPr>
              <w:t>主要产品有汽车车轮、汽车座椅、汽车保险杠、车灯及电子器件、汽车内饰等，</w:t>
            </w:r>
            <w:r>
              <w:rPr>
                <w:rFonts w:hint="eastAsia" w:ascii="宋体" w:hAnsi="宋体" w:eastAsia="宋体"/>
                <w:b w:val="0"/>
                <w:bCs w:val="0"/>
                <w:sz w:val="24"/>
                <w:lang w:val="en-US" w:eastAsia="zh"/>
                <w:woUserID w:val="1"/>
              </w:rPr>
              <w:t>公司与富奥股份在相关主营业务领域不存在交叉、重叠的情况，也不存在实质性的同业竞争关系。</w:t>
            </w:r>
          </w:p>
          <w:p w14:paraId="64646474">
            <w:pPr>
              <w:spacing w:after="0" w:line="360" w:lineRule="auto"/>
              <w:ind w:left="0" w:leftChars="0" w:firstLine="480" w:firstLineChars="200"/>
              <w:jc w:val="both"/>
              <w:rPr>
                <w:rFonts w:hint="eastAsia" w:ascii="宋体" w:hAnsi="宋体" w:eastAsia="宋体"/>
                <w:b w:val="0"/>
                <w:bCs w:val="0"/>
                <w:sz w:val="24"/>
                <w:lang w:val="en-US" w:eastAsia="zh"/>
                <w:woUserID w:val="1"/>
              </w:rPr>
            </w:pPr>
            <w:r>
              <w:rPr>
                <w:rFonts w:hint="eastAsia" w:ascii="宋体" w:hAnsi="宋体" w:eastAsia="宋体"/>
                <w:b w:val="0"/>
                <w:bCs w:val="0"/>
                <w:sz w:val="24"/>
                <w:lang w:val="en-US" w:eastAsia="zh"/>
                <w:woUserID w:val="1"/>
              </w:rPr>
              <w:t>根据公司第</w:t>
            </w:r>
            <w:r>
              <w:rPr>
                <w:rFonts w:hint="default" w:ascii="宋体" w:hAnsi="宋体" w:eastAsia="宋体"/>
                <w:b w:val="0"/>
                <w:bCs w:val="0"/>
                <w:sz w:val="24"/>
                <w:lang w:val="en-US" w:eastAsia="zh"/>
                <w:woUserID w:val="1"/>
              </w:rPr>
              <w:t>十一届董事会第十七次会议决议公告</w:t>
            </w:r>
            <w:r>
              <w:rPr>
                <w:rFonts w:hint="eastAsia" w:ascii="宋体" w:hAnsi="宋体" w:eastAsia="宋体"/>
                <w:b w:val="0"/>
                <w:bCs w:val="0"/>
                <w:sz w:val="24"/>
                <w:lang w:val="en-US" w:eastAsia="zh"/>
                <w:woUserID w:val="1"/>
              </w:rPr>
              <w:t>，</w:t>
            </w:r>
            <w:r>
              <w:rPr>
                <w:rFonts w:hint="default" w:ascii="宋体" w:hAnsi="宋体" w:eastAsia="宋体"/>
                <w:b w:val="0"/>
                <w:bCs w:val="0"/>
                <w:sz w:val="24"/>
                <w:lang w:val="en-US" w:eastAsia="zh"/>
                <w:woUserID w:val="1"/>
              </w:rPr>
              <w:t>公司</w:t>
            </w:r>
            <w:r>
              <w:rPr>
                <w:rFonts w:hint="eastAsia" w:ascii="宋体" w:hAnsi="宋体" w:eastAsia="宋体"/>
                <w:b w:val="0"/>
                <w:bCs w:val="0"/>
                <w:sz w:val="24"/>
                <w:lang w:val="en-US" w:eastAsia="zh"/>
                <w:woUserID w:val="1"/>
              </w:rPr>
              <w:t>拟</w:t>
            </w:r>
            <w:r>
              <w:rPr>
                <w:rFonts w:hint="default" w:ascii="宋体" w:hAnsi="宋体" w:eastAsia="宋体"/>
                <w:b w:val="0"/>
                <w:bCs w:val="0"/>
                <w:sz w:val="24"/>
                <w:lang w:val="en-US" w:eastAsia="zh"/>
                <w:woUserID w:val="1"/>
              </w:rPr>
              <w:t>与富奥股份、宁波华翔启源科技有限公司及</w:t>
            </w:r>
            <w:r>
              <w:rPr>
                <w:rFonts w:hint="default" w:ascii="宋体" w:hAnsi="宋体" w:eastAsia="宋体"/>
                <w:b w:val="0"/>
                <w:bCs w:val="0"/>
                <w:sz w:val="24"/>
                <w:lang w:val="en-US" w:eastAsia="zh-CN"/>
                <w:woUserID w:val="1"/>
              </w:rPr>
              <w:t>长春市旗智汽车产业创新中心有限责任公司</w:t>
            </w:r>
            <w:r>
              <w:rPr>
                <w:rFonts w:hint="default" w:ascii="宋体" w:hAnsi="宋体" w:eastAsia="宋体"/>
                <w:b w:val="0"/>
                <w:bCs w:val="0"/>
                <w:sz w:val="24"/>
                <w:lang w:val="en-US" w:eastAsia="zh"/>
                <w:woUserID w:val="1"/>
              </w:rPr>
              <w:t>共同出资成立合资公司，</w:t>
            </w:r>
            <w:r>
              <w:rPr>
                <w:rFonts w:hint="eastAsia" w:ascii="宋体" w:hAnsi="宋体" w:eastAsia="宋体"/>
                <w:b w:val="0"/>
                <w:bCs w:val="0"/>
                <w:sz w:val="24"/>
                <w:lang w:val="en-US" w:eastAsia="zh"/>
                <w:woUserID w:val="1"/>
              </w:rPr>
              <w:t>合</w:t>
            </w:r>
            <w:r>
              <w:rPr>
                <w:rFonts w:hint="default" w:ascii="宋体" w:hAnsi="宋体" w:eastAsia="宋体"/>
                <w:b w:val="0"/>
                <w:bCs w:val="0"/>
                <w:sz w:val="24"/>
                <w:lang w:val="en-US" w:eastAsia="zh"/>
                <w:woUserID w:val="1"/>
              </w:rPr>
              <w:t>资公司</w:t>
            </w:r>
            <w:r>
              <w:rPr>
                <w:rFonts w:hint="eastAsia" w:ascii="宋体" w:hAnsi="宋体" w:eastAsia="宋体"/>
                <w:b w:val="0"/>
                <w:bCs w:val="0"/>
                <w:sz w:val="24"/>
                <w:lang w:val="en-US" w:eastAsia="zh"/>
                <w:woUserID w:val="1"/>
              </w:rPr>
              <w:t>围</w:t>
            </w:r>
            <w:r>
              <w:rPr>
                <w:rFonts w:hint="default" w:ascii="宋体" w:hAnsi="宋体" w:eastAsia="宋体"/>
                <w:b w:val="0"/>
                <w:bCs w:val="0"/>
                <w:sz w:val="24"/>
                <w:lang w:val="en-US" w:eastAsia="zh"/>
                <w:woUserID w:val="1"/>
              </w:rPr>
              <w:t>绕新型智能出行装备及物理场景智能交互产品相关零部件的研发、制造、设计、销售及售后服务开展生产经营活动。</w:t>
            </w:r>
            <w:r>
              <w:rPr>
                <w:rFonts w:hint="eastAsia" w:ascii="宋体" w:hAnsi="宋体" w:eastAsia="宋体"/>
                <w:b w:val="0"/>
                <w:bCs w:val="0"/>
                <w:sz w:val="24"/>
                <w:lang w:val="en-US" w:eastAsia="zh"/>
                <w:woUserID w:val="1"/>
              </w:rPr>
              <w:t>本</w:t>
            </w:r>
            <w:r>
              <w:rPr>
                <w:rFonts w:hint="default" w:ascii="宋体" w:hAnsi="宋体" w:eastAsia="宋体"/>
                <w:b w:val="0"/>
                <w:bCs w:val="0"/>
                <w:sz w:val="24"/>
                <w:lang w:val="en-US" w:eastAsia="zh"/>
                <w:woUserID w:val="1"/>
              </w:rPr>
              <w:t>次关联交易不会产生同业竞争。合资公司开展的相关业务不应违背前期各方已出具的不竞争承诺，如存在触发的可能，由合资公司股东各方本着有利于合资公司发展且不损害股东各方利益的情况下协商一致解决。</w:t>
            </w:r>
          </w:p>
          <w:p w14:paraId="7FD46C3E">
            <w:pPr>
              <w:spacing w:after="0" w:line="360" w:lineRule="auto"/>
              <w:jc w:val="both"/>
              <w:rPr>
                <w:rFonts w:hint="eastAsia" w:ascii="宋体" w:hAnsi="宋体" w:eastAsia="宋体"/>
                <w:b/>
                <w:bCs/>
                <w:sz w:val="24"/>
                <w:lang w:eastAsia="zh"/>
                <w:woUserID w:val="1"/>
              </w:rPr>
            </w:pPr>
            <w:r>
              <w:rPr>
                <w:rFonts w:hint="eastAsia" w:ascii="宋体" w:hAnsi="宋体" w:eastAsia="宋体"/>
                <w:b/>
                <w:bCs/>
                <w:sz w:val="24"/>
              </w:rPr>
              <w:t>问题三：</w:t>
            </w:r>
            <w:r>
              <w:rPr>
                <w:rFonts w:hint="eastAsia" w:ascii="宋体" w:hAnsi="宋体" w:eastAsia="宋体"/>
                <w:b/>
                <w:bCs/>
                <w:sz w:val="24"/>
                <w:lang w:eastAsia="zh"/>
                <w:woUserID w:val="1"/>
              </w:rPr>
              <w:t>请介绍一下公司在</w:t>
            </w:r>
            <w:r>
              <w:rPr>
                <w:rFonts w:hint="default" w:ascii="宋体" w:hAnsi="宋体" w:eastAsia="宋体"/>
                <w:b/>
                <w:bCs/>
                <w:sz w:val="24"/>
                <w:lang w:eastAsia="zh"/>
                <w:woUserID w:val="1"/>
              </w:rPr>
              <w:t>新型智能出行装备</w:t>
            </w:r>
            <w:r>
              <w:rPr>
                <w:rFonts w:hint="eastAsia" w:ascii="宋体" w:hAnsi="宋体" w:eastAsia="宋体"/>
                <w:b/>
                <w:bCs/>
                <w:sz w:val="24"/>
                <w:lang w:eastAsia="zh"/>
                <w:woUserID w:val="1"/>
              </w:rPr>
              <w:t>方面的布局。</w:t>
            </w:r>
          </w:p>
          <w:p w14:paraId="7E956276">
            <w:pPr>
              <w:spacing w:after="0" w:line="360" w:lineRule="auto"/>
              <w:ind w:left="0" w:leftChars="0" w:firstLine="480" w:firstLineChars="200"/>
              <w:jc w:val="both"/>
              <w:rPr>
                <w:rFonts w:hint="default" w:ascii="宋体" w:hAnsi="宋体" w:eastAsia="宋体"/>
                <w:b w:val="0"/>
                <w:bCs w:val="0"/>
                <w:sz w:val="24"/>
                <w:lang w:val="en-US" w:eastAsia="zh-CN"/>
                <w:woUserID w:val="1"/>
              </w:rPr>
            </w:pPr>
            <w:r>
              <w:rPr>
                <w:rFonts w:hint="eastAsia" w:ascii="宋体" w:hAnsi="宋体" w:eastAsia="宋体"/>
                <w:b/>
                <w:bCs/>
                <w:sz w:val="24"/>
                <w:woUserID w:val="1"/>
              </w:rPr>
              <w:t>答复：</w:t>
            </w:r>
            <w:r>
              <w:rPr>
                <w:rFonts w:hint="default" w:ascii="宋体" w:hAnsi="宋体" w:eastAsia="宋体"/>
                <w:b w:val="0"/>
                <w:bCs w:val="0"/>
                <w:sz w:val="24"/>
                <w:lang w:val="en-US" w:eastAsia="zh-CN"/>
                <w:woUserID w:val="1"/>
              </w:rPr>
              <w:t>公司积极把握该领域的发展机遇，与沃飞长空达成合作，共同推进eVTOL相关业务。基于eVTOL舱段与汽车座舱在功能与架构上的高度共通性，公司充分发挥在汽车座舱领域积累的研发能力，实现跨行业技术复用。公司的创新产品“智能灵动舱”实现了多元功能集成与体验升级，为未来城市空中出行带来了突破性体验。在展出期间受到了广泛关注。</w:t>
            </w:r>
          </w:p>
          <w:p w14:paraId="36B1EF2A">
            <w:pPr>
              <w:spacing w:after="0" w:line="360" w:lineRule="auto"/>
              <w:ind w:left="0" w:leftChars="0" w:firstLine="480" w:firstLineChars="200"/>
              <w:jc w:val="both"/>
              <w:rPr>
                <w:rFonts w:hint="eastAsia" w:ascii="宋体" w:hAnsi="宋体" w:eastAsia="宋体"/>
                <w:b w:val="0"/>
                <w:bCs w:val="0"/>
                <w:sz w:val="24"/>
                <w:lang w:val="en-US" w:eastAsia="zh"/>
                <w:woUserID w:val="1"/>
              </w:rPr>
            </w:pPr>
            <w:r>
              <w:rPr>
                <w:rFonts w:hint="eastAsia" w:ascii="宋体" w:hAnsi="宋体" w:eastAsia="宋体"/>
                <w:b w:val="0"/>
                <w:bCs w:val="0"/>
                <w:sz w:val="24"/>
                <w:lang w:val="en-US" w:eastAsia="zh"/>
                <w:woUserID w:val="1"/>
              </w:rPr>
              <w:t>另一方面，2026年</w:t>
            </w:r>
            <w:r>
              <w:rPr>
                <w:rFonts w:hint="default" w:ascii="宋体" w:hAnsi="宋体" w:eastAsia="宋体"/>
                <w:b w:val="0"/>
                <w:bCs w:val="0"/>
                <w:sz w:val="24"/>
                <w:lang w:val="en-US" w:eastAsia="zh-CN"/>
                <w:woUserID w:val="1"/>
              </w:rPr>
              <w:t>公司以公开摘牌方式增资一汽旗翼（深圳）科技有限公司1.5亿元。</w:t>
            </w:r>
            <w:r>
              <w:rPr>
                <w:rFonts w:hint="eastAsia" w:ascii="宋体" w:hAnsi="宋体" w:eastAsia="宋体"/>
                <w:b w:val="0"/>
                <w:bCs w:val="0"/>
                <w:sz w:val="24"/>
                <w:lang w:val="en-US" w:eastAsia="zh"/>
                <w:woUserID w:val="1"/>
              </w:rPr>
              <w:t>被投资公司</w:t>
            </w:r>
            <w:r>
              <w:rPr>
                <w:rFonts w:hint="default" w:ascii="宋体" w:hAnsi="宋体" w:eastAsia="宋体"/>
                <w:b w:val="0"/>
                <w:bCs w:val="0"/>
                <w:sz w:val="24"/>
                <w:lang w:val="en-US" w:eastAsia="zh-CN"/>
                <w:woUserID w:val="1"/>
              </w:rPr>
              <w:t>是专注于新型智能出行装备研发、制造、销售及运营的科技企业，目前其自主研发的红旗天辇1号原型机已完成首次试验。</w:t>
            </w:r>
            <w:r>
              <w:rPr>
                <w:rFonts w:hint="eastAsia" w:ascii="宋体" w:hAnsi="宋体" w:eastAsia="宋体"/>
                <w:b w:val="0"/>
                <w:bCs w:val="0"/>
                <w:sz w:val="24"/>
                <w:lang w:val="en-US" w:eastAsia="zh"/>
                <w:woUserID w:val="1"/>
              </w:rPr>
              <w:t>本次投入资金将投向红旗天辇飞行汽车系列产品研发、适航认证推进、核心技术迭代及日常运营。同时</w:t>
            </w:r>
            <w:r>
              <w:rPr>
                <w:rFonts w:hint="default" w:ascii="宋体" w:hAnsi="宋体" w:eastAsia="宋体"/>
                <w:b w:val="0"/>
                <w:bCs w:val="0"/>
                <w:sz w:val="24"/>
                <w:lang w:val="en-US" w:eastAsia="zh-CN"/>
                <w:woUserID w:val="1"/>
              </w:rPr>
              <w:t>公司将结合智能座舱、轻量化方面的技术积累，拓展相关产品布局，实现现有技术与新兴业务的协同复用，打破原有业务边界，推动公司从传统汽车零部件业务向高端新兴产业延伸。</w:t>
            </w:r>
          </w:p>
          <w:p w14:paraId="050FC0A4">
            <w:pPr>
              <w:spacing w:after="0" w:line="360" w:lineRule="auto"/>
              <w:jc w:val="both"/>
              <w:rPr>
                <w:rFonts w:hint="eastAsia" w:ascii="宋体" w:hAnsi="宋体" w:eastAsia="宋体"/>
                <w:b/>
                <w:bCs/>
                <w:sz w:val="24"/>
              </w:rPr>
            </w:pPr>
            <w:r>
              <w:rPr>
                <w:rFonts w:hint="eastAsia" w:ascii="宋体" w:hAnsi="宋体" w:eastAsia="宋体"/>
                <w:b/>
                <w:bCs/>
                <w:sz w:val="24"/>
                <w:lang w:eastAsia="zh"/>
                <w:woUserID w:val="1"/>
              </w:rPr>
              <w:t>问题四：</w:t>
            </w:r>
            <w:r>
              <w:rPr>
                <w:rFonts w:hint="eastAsia" w:ascii="宋体" w:hAnsi="宋体" w:eastAsia="宋体"/>
                <w:b/>
                <w:bCs/>
                <w:sz w:val="24"/>
              </w:rPr>
              <w:t>请对公司外部市场拓展情况进行介绍。</w:t>
            </w:r>
          </w:p>
          <w:p w14:paraId="45510961">
            <w:pPr>
              <w:spacing w:after="0" w:line="360" w:lineRule="auto"/>
              <w:ind w:left="0" w:leftChars="0" w:firstLine="480" w:firstLineChars="200"/>
              <w:jc w:val="both"/>
              <w:rPr>
                <w:rFonts w:hint="eastAsia" w:ascii="宋体" w:hAnsi="宋体" w:eastAsia="宋体"/>
                <w:b w:val="0"/>
                <w:bCs w:val="0"/>
                <w:sz w:val="24"/>
                <w:lang w:eastAsia="zh"/>
                <w:woUserID w:val="1"/>
              </w:rPr>
            </w:pPr>
            <w:r>
              <w:rPr>
                <w:rFonts w:hint="eastAsia" w:ascii="宋体" w:hAnsi="宋体" w:eastAsia="宋体"/>
                <w:b/>
                <w:bCs/>
                <w:sz w:val="24"/>
                <w:lang w:eastAsia="zh"/>
                <w:woUserID w:val="1"/>
              </w:rPr>
              <w:t>答复：</w:t>
            </w:r>
            <w:r>
              <w:rPr>
                <w:rFonts w:hint="eastAsia" w:ascii="宋体" w:hAnsi="宋体" w:eastAsia="宋体"/>
                <w:b w:val="0"/>
                <w:bCs w:val="0"/>
                <w:sz w:val="24"/>
                <w:lang w:val="en-US" w:eastAsia="zh-CN"/>
                <w:woUserID w:val="1"/>
              </w:rPr>
              <w:t>市场开拓方面，公司坚持“内外兼修”策略，持续深化市场布局。在巩固核心客户方面，2025年富维股份及下属参控股公司共承接一汽集团订单101项，全生命周期销售额达263.22亿元。在一汽集团以外市场拓展方面，面对2025年整车行业激烈复杂的竞争格局，公司立足自身实际，锚定目标客户与核心项目，加速订单落地。</w:t>
            </w:r>
            <w:r>
              <w:rPr>
                <w:rFonts w:hint="eastAsia" w:ascii="宋体" w:hAnsi="宋体" w:eastAsia="宋体"/>
                <w:b w:val="0"/>
                <w:bCs w:val="0"/>
                <w:sz w:val="24"/>
                <w:lang w:val="en-US" w:eastAsia="zh"/>
                <w:woUserID w:val="1"/>
              </w:rPr>
              <w:t>2025年</w:t>
            </w:r>
            <w:r>
              <w:rPr>
                <w:rFonts w:hint="eastAsia" w:ascii="宋体" w:hAnsi="宋体" w:eastAsia="宋体"/>
                <w:b w:val="0"/>
                <w:bCs w:val="0"/>
                <w:sz w:val="24"/>
                <w:lang w:val="en-US" w:eastAsia="zh-CN"/>
                <w:woUserID w:val="1"/>
              </w:rPr>
              <w:t>公司及下属参控股公司全年共斩获一汽集团以外市场订单46项，全生命周期销售额达67.67亿元。</w:t>
            </w:r>
          </w:p>
          <w:p w14:paraId="485E1178">
            <w:pPr>
              <w:spacing w:after="0" w:line="360" w:lineRule="auto"/>
              <w:ind w:firstLine="480" w:firstLineChars="200"/>
              <w:jc w:val="both"/>
              <w:rPr>
                <w:rFonts w:hint="eastAsia" w:ascii="宋体" w:hAnsi="宋体" w:eastAsia="宋体"/>
                <w:sz w:val="24"/>
              </w:rPr>
            </w:pPr>
            <w:r>
              <w:rPr>
                <w:rFonts w:hint="eastAsia" w:ascii="宋体" w:hAnsi="宋体" w:eastAsia="宋体"/>
                <w:sz w:val="24"/>
              </w:rPr>
              <w:t>十五五期间，公司</w:t>
            </w:r>
            <w:r>
              <w:rPr>
                <w:rFonts w:hint="eastAsia" w:ascii="宋体" w:hAnsi="宋体" w:eastAsia="宋体"/>
                <w:sz w:val="24"/>
                <w:lang w:eastAsia="zh"/>
                <w:woUserID w:val="1"/>
              </w:rPr>
              <w:t>将</w:t>
            </w:r>
            <w:r>
              <w:rPr>
                <w:rFonts w:hint="eastAsia" w:ascii="宋体" w:hAnsi="宋体" w:eastAsia="宋体"/>
                <w:sz w:val="24"/>
              </w:rPr>
              <w:t xml:space="preserve">在稳固现有业务订单的基础上，进一步提升非一汽集团客户的营收占比，通过主动拓展新客户、布局新项目及适时开展投资并购，不断优化收入结构。公司坚持“以增长促调整”的发展思路，旨在打造更加平衡且富有韧性的业务框架，为长期可持续发展奠定坚实基础。 </w:t>
            </w:r>
          </w:p>
          <w:p w14:paraId="6EA862CF">
            <w:pPr>
              <w:spacing w:after="0" w:line="360" w:lineRule="auto"/>
              <w:jc w:val="both"/>
              <w:rPr>
                <w:rFonts w:hint="eastAsia" w:ascii="宋体" w:hAnsi="宋体" w:eastAsia="宋体"/>
                <w:b/>
                <w:bCs/>
                <w:sz w:val="24"/>
                <w:lang w:eastAsia="zh"/>
                <w:woUserID w:val="1"/>
              </w:rPr>
            </w:pPr>
            <w:r>
              <w:rPr>
                <w:rFonts w:hint="eastAsia" w:ascii="宋体" w:hAnsi="宋体" w:eastAsia="宋体"/>
                <w:b/>
                <w:bCs/>
                <w:sz w:val="24"/>
                <w:woUserID w:val="1"/>
              </w:rPr>
              <w:t>问题</w:t>
            </w:r>
            <w:r>
              <w:rPr>
                <w:rFonts w:hint="eastAsia" w:ascii="宋体" w:hAnsi="宋体" w:eastAsia="宋体"/>
                <w:b/>
                <w:bCs/>
                <w:sz w:val="24"/>
                <w:lang w:eastAsia="zh"/>
                <w:woUserID w:val="1"/>
              </w:rPr>
              <w:t>五</w:t>
            </w:r>
            <w:r>
              <w:rPr>
                <w:rFonts w:hint="eastAsia" w:ascii="宋体" w:hAnsi="宋体" w:eastAsia="宋体"/>
                <w:b/>
                <w:bCs/>
                <w:sz w:val="24"/>
                <w:woUserID w:val="1"/>
              </w:rPr>
              <w:t>：</w:t>
            </w:r>
            <w:r>
              <w:rPr>
                <w:rFonts w:hint="eastAsia" w:ascii="宋体" w:hAnsi="宋体" w:eastAsia="宋体"/>
                <w:b/>
                <w:bCs/>
                <w:sz w:val="24"/>
                <w:lang w:eastAsia="zh"/>
                <w:woUserID w:val="1"/>
              </w:rPr>
              <w:t>请问公司未来分红计划？</w:t>
            </w:r>
          </w:p>
          <w:p w14:paraId="5469748F">
            <w:pPr>
              <w:spacing w:after="0" w:line="360" w:lineRule="auto"/>
              <w:ind w:left="0" w:leftChars="0" w:firstLine="480" w:firstLineChars="200"/>
              <w:jc w:val="both"/>
              <w:rPr>
                <w:rFonts w:hint="eastAsia" w:ascii="宋体" w:hAnsi="宋体" w:eastAsia="宋体"/>
                <w:b w:val="0"/>
                <w:bCs w:val="0"/>
                <w:sz w:val="24"/>
                <w:lang w:eastAsia="zh"/>
                <w:woUserID w:val="1"/>
              </w:rPr>
            </w:pPr>
            <w:r>
              <w:rPr>
                <w:rFonts w:hint="eastAsia" w:ascii="宋体" w:hAnsi="宋体" w:eastAsia="宋体"/>
                <w:b/>
                <w:bCs/>
                <w:sz w:val="24"/>
                <w:woUserID w:val="1"/>
              </w:rPr>
              <w:t>答复：</w:t>
            </w:r>
            <w:r>
              <w:rPr>
                <w:rFonts w:hint="eastAsia" w:ascii="宋体" w:hAnsi="宋体" w:eastAsia="宋体"/>
                <w:b w:val="0"/>
                <w:bCs w:val="0"/>
                <w:sz w:val="24"/>
                <w:lang w:eastAsia="zh"/>
                <w:woUserID w:val="1"/>
              </w:rPr>
              <w:t>您好，一方面，公司高度重视投资者回报，自2009年至今，连续进行现金分红，同时于2024年第三季度首次进行中期分红。2024年全年分红0.35元/股，股利支付率超过50%。2025年半年度，三季度红利已经分派完毕，年度分红预案已通过股东会审议，2025年全年三次分红，分红总计0.52元/股，股利支付率超过80%。2026年4月份，公司制订并发布了《提质增效重回报行动方案暨估值提升计划》，将每年分红比例不低于当</w:t>
            </w:r>
            <w:r>
              <w:rPr>
                <w:rFonts w:hint="default" w:ascii="宋体" w:hAnsi="宋体" w:eastAsia="宋体"/>
                <w:b w:val="0"/>
                <w:bCs w:val="0"/>
                <w:sz w:val="24"/>
                <w:lang w:eastAsia="zh"/>
                <w:woUserID w:val="1"/>
              </w:rPr>
              <w:t>年实现的</w:t>
            </w:r>
            <w:r>
              <w:rPr>
                <w:rFonts w:hint="eastAsia" w:ascii="宋体" w:hAnsi="宋体" w:eastAsia="宋体"/>
                <w:b w:val="0"/>
                <w:bCs w:val="0"/>
                <w:sz w:val="24"/>
                <w:lang w:eastAsia="zh"/>
                <w:woUserID w:val="1"/>
              </w:rPr>
              <w:t>可分配利润的50%，分红次数不低于两次的承诺，从2024年-2026年延长至2028年。最终分红比例将根据未来投资的资金需求及当年盈利水平动态调整。</w:t>
            </w:r>
          </w:p>
          <w:p w14:paraId="147665EE">
            <w:pPr>
              <w:spacing w:after="0" w:line="360" w:lineRule="auto"/>
              <w:jc w:val="both"/>
              <w:rPr>
                <w:rFonts w:hint="eastAsia" w:ascii="宋体" w:hAnsi="宋体" w:eastAsia="宋体"/>
                <w:b/>
                <w:bCs/>
                <w:sz w:val="24"/>
                <w:lang w:eastAsia="zh"/>
                <w:woUserID w:val="1"/>
              </w:rPr>
            </w:pPr>
            <w:r>
              <w:rPr>
                <w:rFonts w:hint="eastAsia" w:ascii="宋体" w:hAnsi="宋体" w:eastAsia="宋体"/>
                <w:b/>
                <w:bCs/>
                <w:sz w:val="24"/>
                <w:woUserID w:val="1"/>
              </w:rPr>
              <w:t>问题</w:t>
            </w:r>
            <w:r>
              <w:rPr>
                <w:rFonts w:hint="eastAsia" w:ascii="宋体" w:hAnsi="宋体" w:eastAsia="宋体"/>
                <w:b/>
                <w:bCs/>
                <w:sz w:val="24"/>
                <w:lang w:eastAsia="zh"/>
                <w:woUserID w:val="1"/>
              </w:rPr>
              <w:t>六</w:t>
            </w:r>
            <w:r>
              <w:rPr>
                <w:rFonts w:hint="eastAsia" w:ascii="宋体" w:hAnsi="宋体" w:eastAsia="宋体"/>
                <w:b/>
                <w:bCs/>
                <w:sz w:val="24"/>
                <w:woUserID w:val="1"/>
              </w:rPr>
              <w:t>：</w:t>
            </w:r>
            <w:r>
              <w:rPr>
                <w:rFonts w:hint="eastAsia" w:ascii="宋体" w:hAnsi="宋体" w:eastAsia="宋体"/>
                <w:b/>
                <w:bCs/>
                <w:sz w:val="24"/>
                <w:lang w:eastAsia="zh"/>
                <w:woUserID w:val="1"/>
              </w:rPr>
              <w:t>注意到公司成立了“投资管理部”，请问主要负责哪些业务？</w:t>
            </w:r>
          </w:p>
          <w:p w14:paraId="77EA2C32">
            <w:pPr>
              <w:spacing w:after="0" w:line="360" w:lineRule="auto"/>
              <w:ind w:left="0" w:leftChars="0" w:firstLine="480" w:firstLineChars="200"/>
              <w:jc w:val="both"/>
              <w:rPr>
                <w:rFonts w:hint="eastAsia" w:ascii="宋体" w:hAnsi="宋体" w:eastAsia="宋体"/>
                <w:sz w:val="24"/>
              </w:rPr>
            </w:pPr>
            <w:r>
              <w:rPr>
                <w:rFonts w:hint="eastAsia" w:ascii="宋体" w:hAnsi="宋体" w:eastAsia="宋体"/>
                <w:b w:val="0"/>
                <w:bCs w:val="0"/>
                <w:sz w:val="24"/>
                <w:lang w:eastAsia="zh"/>
                <w:woUserID w:val="1"/>
              </w:rPr>
              <w:t>经公司第十一届董事会第十九次会议决议，为落实“十五五”发展战略，提升股权投资管理能力，公司新设投资管理部作为一级部门，负责股权投资、基金投资等新增业务，在2025年已参与成立一支创投类私募股权基金和2026年投资</w:t>
            </w:r>
            <w:bookmarkStart w:id="0" w:name="_GoBack"/>
            <w:r>
              <w:rPr>
                <w:rFonts w:hint="default" w:ascii="宋体" w:hAnsi="宋体" w:eastAsia="宋体"/>
                <w:b w:val="0"/>
                <w:bCs w:val="0"/>
                <w:sz w:val="24"/>
                <w:lang w:eastAsia="zh"/>
                <w:woUserID w:val="1"/>
              </w:rPr>
              <w:t>新型智能出行装备</w:t>
            </w:r>
            <w:bookmarkEnd w:id="0"/>
            <w:r>
              <w:rPr>
                <w:rFonts w:hint="eastAsia" w:ascii="宋体" w:hAnsi="宋体" w:eastAsia="宋体"/>
                <w:b w:val="0"/>
                <w:bCs w:val="0"/>
                <w:sz w:val="24"/>
                <w:lang w:eastAsia="zh"/>
                <w:woUserID w:val="1"/>
              </w:rPr>
              <w:t>企业的基础上，着力打造专业化股权投资管理能力。后续公司将以此为抓手，进一步优化资本运作与产业协同。</w:t>
            </w:r>
          </w:p>
        </w:tc>
      </w:tr>
    </w:tbl>
    <w:p w14:paraId="7C8AEBAA">
      <w:pPr>
        <w:spacing w:after="0" w:line="240" w:lineRule="auto"/>
        <w:jc w:val="right"/>
        <w:rPr>
          <w:rFonts w:hint="eastAsia" w:ascii="宋体" w:hAnsi="宋体" w:eastAsia="宋体"/>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001F" w:usb2="08000029" w:usb3="00100000" w:csb0="00000000" w:csb1="00000000"/>
  </w:font>
  <w:font w:name="DejaVu Sans">
    <w:panose1 w:val="020B0603030804020204"/>
    <w:charset w:val="00"/>
    <w:family w:val="auto"/>
    <w:pitch w:val="default"/>
    <w:sig w:usb0="E7006EFF" w:usb1="D200FDFF" w:usb2="0A246029" w:usb3="0400200C" w:csb0="600001FF" w:csb1="DFFF0000"/>
  </w:font>
  <w:font w:name="等线">
    <w:altName w:val="汉仪中等线KW"/>
    <w:panose1 w:val="00000000000000000000"/>
    <w:charset w:val="00"/>
    <w:family w:val="auto"/>
    <w:pitch w:val="default"/>
    <w:sig w:usb0="00000000" w:usb1="00000000" w:usb2="00000000" w:usb3="00000000" w:csb0="00000000" w:csb1="00000000"/>
  </w:font>
  <w:font w:name="sans-serif">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FF"/>
    <w:rsid w:val="00002D4B"/>
    <w:rsid w:val="00055175"/>
    <w:rsid w:val="00065B50"/>
    <w:rsid w:val="00070818"/>
    <w:rsid w:val="0008466E"/>
    <w:rsid w:val="000B3EB7"/>
    <w:rsid w:val="000D3D8F"/>
    <w:rsid w:val="000E5CAF"/>
    <w:rsid w:val="000E71D2"/>
    <w:rsid w:val="00102839"/>
    <w:rsid w:val="00116716"/>
    <w:rsid w:val="00132D3B"/>
    <w:rsid w:val="001547ED"/>
    <w:rsid w:val="0017311C"/>
    <w:rsid w:val="001766EF"/>
    <w:rsid w:val="001934E9"/>
    <w:rsid w:val="001A60B7"/>
    <w:rsid w:val="001B1BF3"/>
    <w:rsid w:val="001B5547"/>
    <w:rsid w:val="001E1EE5"/>
    <w:rsid w:val="0020006A"/>
    <w:rsid w:val="00200BC2"/>
    <w:rsid w:val="002027D4"/>
    <w:rsid w:val="002146ED"/>
    <w:rsid w:val="00270EFF"/>
    <w:rsid w:val="00272075"/>
    <w:rsid w:val="00274EB7"/>
    <w:rsid w:val="00281156"/>
    <w:rsid w:val="002901CE"/>
    <w:rsid w:val="002A764E"/>
    <w:rsid w:val="002B09DF"/>
    <w:rsid w:val="002C6493"/>
    <w:rsid w:val="002E04CB"/>
    <w:rsid w:val="002E5386"/>
    <w:rsid w:val="003032D1"/>
    <w:rsid w:val="00347EE1"/>
    <w:rsid w:val="00352C42"/>
    <w:rsid w:val="00355602"/>
    <w:rsid w:val="003577FF"/>
    <w:rsid w:val="00357F86"/>
    <w:rsid w:val="00367500"/>
    <w:rsid w:val="00380CA1"/>
    <w:rsid w:val="003840AE"/>
    <w:rsid w:val="003A6A57"/>
    <w:rsid w:val="003D2BAD"/>
    <w:rsid w:val="003E7690"/>
    <w:rsid w:val="003F485D"/>
    <w:rsid w:val="00462648"/>
    <w:rsid w:val="00466521"/>
    <w:rsid w:val="00481B61"/>
    <w:rsid w:val="004A1794"/>
    <w:rsid w:val="004A52A5"/>
    <w:rsid w:val="004B2259"/>
    <w:rsid w:val="005333A5"/>
    <w:rsid w:val="00561CD9"/>
    <w:rsid w:val="00563945"/>
    <w:rsid w:val="005C5E68"/>
    <w:rsid w:val="005E3EC9"/>
    <w:rsid w:val="00612DB3"/>
    <w:rsid w:val="00622185"/>
    <w:rsid w:val="0063447C"/>
    <w:rsid w:val="0064596B"/>
    <w:rsid w:val="00651DA2"/>
    <w:rsid w:val="0069044F"/>
    <w:rsid w:val="006E1ADA"/>
    <w:rsid w:val="006E6C50"/>
    <w:rsid w:val="006F6FC4"/>
    <w:rsid w:val="007057EA"/>
    <w:rsid w:val="00706870"/>
    <w:rsid w:val="00740604"/>
    <w:rsid w:val="00744D51"/>
    <w:rsid w:val="00747AC2"/>
    <w:rsid w:val="00754733"/>
    <w:rsid w:val="007A03A5"/>
    <w:rsid w:val="007C57FE"/>
    <w:rsid w:val="007D11F7"/>
    <w:rsid w:val="007E4212"/>
    <w:rsid w:val="008148A2"/>
    <w:rsid w:val="00820ED8"/>
    <w:rsid w:val="00825E41"/>
    <w:rsid w:val="00832476"/>
    <w:rsid w:val="008658D6"/>
    <w:rsid w:val="008776F6"/>
    <w:rsid w:val="008854EB"/>
    <w:rsid w:val="008A16D4"/>
    <w:rsid w:val="008B338C"/>
    <w:rsid w:val="008F2FB7"/>
    <w:rsid w:val="0090546A"/>
    <w:rsid w:val="00924F4E"/>
    <w:rsid w:val="00925D1E"/>
    <w:rsid w:val="0094408C"/>
    <w:rsid w:val="00963F4B"/>
    <w:rsid w:val="00995C78"/>
    <w:rsid w:val="009C51F4"/>
    <w:rsid w:val="009C5FB4"/>
    <w:rsid w:val="00A01ADE"/>
    <w:rsid w:val="00A031FC"/>
    <w:rsid w:val="00A06646"/>
    <w:rsid w:val="00A428E7"/>
    <w:rsid w:val="00A47B06"/>
    <w:rsid w:val="00A504DF"/>
    <w:rsid w:val="00A56527"/>
    <w:rsid w:val="00A7252B"/>
    <w:rsid w:val="00A86DC0"/>
    <w:rsid w:val="00AD5078"/>
    <w:rsid w:val="00AE73DA"/>
    <w:rsid w:val="00B11C44"/>
    <w:rsid w:val="00B135FC"/>
    <w:rsid w:val="00B17295"/>
    <w:rsid w:val="00B26FBE"/>
    <w:rsid w:val="00B56E3F"/>
    <w:rsid w:val="00B5730B"/>
    <w:rsid w:val="00BC49E8"/>
    <w:rsid w:val="00BD73A6"/>
    <w:rsid w:val="00C5703A"/>
    <w:rsid w:val="00C95162"/>
    <w:rsid w:val="00C96518"/>
    <w:rsid w:val="00CD497F"/>
    <w:rsid w:val="00D02614"/>
    <w:rsid w:val="00D170CE"/>
    <w:rsid w:val="00D17EB7"/>
    <w:rsid w:val="00D211E1"/>
    <w:rsid w:val="00D46AA5"/>
    <w:rsid w:val="00D84FEF"/>
    <w:rsid w:val="00DB5933"/>
    <w:rsid w:val="00DC712D"/>
    <w:rsid w:val="00DE655F"/>
    <w:rsid w:val="00E02E3E"/>
    <w:rsid w:val="00E13B95"/>
    <w:rsid w:val="00E1561D"/>
    <w:rsid w:val="00E15620"/>
    <w:rsid w:val="00E15762"/>
    <w:rsid w:val="00E417D0"/>
    <w:rsid w:val="00E502EF"/>
    <w:rsid w:val="00E50A85"/>
    <w:rsid w:val="00E54A34"/>
    <w:rsid w:val="00EB588A"/>
    <w:rsid w:val="00EB588E"/>
    <w:rsid w:val="00EC0AE8"/>
    <w:rsid w:val="00EC5392"/>
    <w:rsid w:val="00ED03F7"/>
    <w:rsid w:val="00EE21FB"/>
    <w:rsid w:val="00EE5047"/>
    <w:rsid w:val="00EF464E"/>
    <w:rsid w:val="00F05CC2"/>
    <w:rsid w:val="00F2698A"/>
    <w:rsid w:val="00F50748"/>
    <w:rsid w:val="00F55690"/>
    <w:rsid w:val="00F65D94"/>
    <w:rsid w:val="00FA246E"/>
    <w:rsid w:val="00FA2E45"/>
    <w:rsid w:val="00FA4564"/>
    <w:rsid w:val="00FA4AB0"/>
    <w:rsid w:val="00FA4F91"/>
    <w:rsid w:val="00FB46C7"/>
    <w:rsid w:val="00FB5A50"/>
    <w:rsid w:val="00FC7455"/>
    <w:rsid w:val="00FE2531"/>
    <w:rsid w:val="00FF0ACE"/>
    <w:rsid w:val="08C1658D"/>
    <w:rsid w:val="0ABF76C1"/>
    <w:rsid w:val="19BFFD02"/>
    <w:rsid w:val="1FF94673"/>
    <w:rsid w:val="1FFB2F37"/>
    <w:rsid w:val="22E230A2"/>
    <w:rsid w:val="2B7FDD66"/>
    <w:rsid w:val="2B9F7D27"/>
    <w:rsid w:val="2DEF9D31"/>
    <w:rsid w:val="3EF6CC20"/>
    <w:rsid w:val="3FB708B8"/>
    <w:rsid w:val="4C390D85"/>
    <w:rsid w:val="51F2ECBF"/>
    <w:rsid w:val="57386794"/>
    <w:rsid w:val="57A6230D"/>
    <w:rsid w:val="590E446F"/>
    <w:rsid w:val="5D2FAC07"/>
    <w:rsid w:val="5EA42C9D"/>
    <w:rsid w:val="5F3876D3"/>
    <w:rsid w:val="5F5BAF69"/>
    <w:rsid w:val="5FB23854"/>
    <w:rsid w:val="63DBBF29"/>
    <w:rsid w:val="65AB620C"/>
    <w:rsid w:val="66DF9FC9"/>
    <w:rsid w:val="699D50E9"/>
    <w:rsid w:val="6B6EB378"/>
    <w:rsid w:val="6BFD8E92"/>
    <w:rsid w:val="6DE79D71"/>
    <w:rsid w:val="73771D47"/>
    <w:rsid w:val="753D73FB"/>
    <w:rsid w:val="75DE7B87"/>
    <w:rsid w:val="76F52562"/>
    <w:rsid w:val="77AD1E95"/>
    <w:rsid w:val="77F17A55"/>
    <w:rsid w:val="77FB3424"/>
    <w:rsid w:val="79EF2A44"/>
    <w:rsid w:val="7DBF66F7"/>
    <w:rsid w:val="7DD93E4A"/>
    <w:rsid w:val="7DFD4B9C"/>
    <w:rsid w:val="7E9C032D"/>
    <w:rsid w:val="7F1F1223"/>
    <w:rsid w:val="7F3A3229"/>
    <w:rsid w:val="7F7EC958"/>
    <w:rsid w:val="7F9FC333"/>
    <w:rsid w:val="7FB9999F"/>
    <w:rsid w:val="7FBF09E9"/>
    <w:rsid w:val="7FF536AA"/>
    <w:rsid w:val="7FFF9128"/>
    <w:rsid w:val="80EBB326"/>
    <w:rsid w:val="9766A367"/>
    <w:rsid w:val="9D6DCDF5"/>
    <w:rsid w:val="9FDF6360"/>
    <w:rsid w:val="AEE3A561"/>
    <w:rsid w:val="B787B232"/>
    <w:rsid w:val="B7FF185B"/>
    <w:rsid w:val="B85F2B98"/>
    <w:rsid w:val="BBFC3CDB"/>
    <w:rsid w:val="BE9CFB3D"/>
    <w:rsid w:val="BF3F846B"/>
    <w:rsid w:val="BFDF7875"/>
    <w:rsid w:val="DCDFF852"/>
    <w:rsid w:val="DDED131B"/>
    <w:rsid w:val="DFFE41E6"/>
    <w:rsid w:val="E79D848D"/>
    <w:rsid w:val="E9FF56D6"/>
    <w:rsid w:val="F2DF14D0"/>
    <w:rsid w:val="F3F10CCB"/>
    <w:rsid w:val="FAEBF7C4"/>
    <w:rsid w:val="FBFFA760"/>
    <w:rsid w:val="FD778D47"/>
    <w:rsid w:val="FEFFE574"/>
    <w:rsid w:val="FFAF25AA"/>
    <w:rsid w:val="FFDAF0B2"/>
    <w:rsid w:val="FFFA6D1C"/>
    <w:rsid w:val="FFFD82D6"/>
    <w:rsid w:val="FFFD9852"/>
    <w:rsid w:val="FFFFB7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Autospacing="1" w:after="0" w:afterAutospacing="1"/>
    </w:pPr>
    <w:rPr>
      <w:rFonts w:cs="Times New Roman"/>
      <w:kern w:val="0"/>
      <w:sz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A797B-60C9-4B3B-8C0C-AB2845606CD9}">
  <ds:schemaRefs/>
</ds:datastoreItem>
</file>

<file path=docProps/app.xml><?xml version="1.0" encoding="utf-8"?>
<Properties xmlns="http://schemas.openxmlformats.org/officeDocument/2006/extended-properties" xmlns:vt="http://schemas.openxmlformats.org/officeDocument/2006/docPropsVTypes">
  <Pages>5</Pages>
  <Words>198</Words>
  <Characters>1134</Characters>
  <Lines>9</Lines>
  <Paragraphs>2</Paragraphs>
  <TotalTime>0</TotalTime>
  <ScaleCrop>false</ScaleCrop>
  <LinksUpToDate>false</LinksUpToDate>
  <CharactersWithSpaces>1330</CharactersWithSpaces>
  <Application>WPS Office WWO_wpscloud_20260508175737-a9385e8bc7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2025-01-14T02:52:00Z</dcterms:created>
  <dc:creator>潘滢玥</dc:creator>
  <cp:lastModifiedBy>李丹妮</cp:lastModifiedBy>
  <dcterms:modified xsi:type="dcterms:W3CDTF">2026-05-18T14:50:58Z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2052-12.9.0.26427</vt:lpwstr>
  </property>
  <property fmtid="{D5CDD505-2E9C-101B-9397-08002B2CF9AE}" pid="3" name="ICV">
    <vt:lpwstr>359146EA90C9EC3AD2B60A6A9A101246_43</vt:lpwstr>
  </property>
  <property fmtid="{D5CDD505-2E9C-101B-9397-08002B2CF9AE}" pid="4" name="KSOTemplateDocerSaveRecord">
    <vt:lpwstr>eyJoZGlkIjoiMTgwODJiM2U4N2YxMTZiZjQ1ZTU1MjBiZTRmMWM4YTAiLCJ1c2VySWQiOiIxNzU1MDIxOTY3In0=</vt:lpwstr>
  </property>
</Properties>
</file>