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404FD">
      <w:pPr>
        <w:rPr>
          <w:rFonts w:ascii="黑体" w:hAnsi="黑体" w:eastAsia="黑体"/>
          <w:color w:val="FF0000"/>
          <w:sz w:val="44"/>
          <w:szCs w:val="44"/>
        </w:rPr>
      </w:pPr>
      <w:r>
        <w:rPr>
          <w:rFonts w:hint="eastAsia" w:ascii="黑体" w:hAnsi="黑体" w:eastAsia="黑体"/>
          <w:color w:val="FF0000"/>
          <w:sz w:val="44"/>
          <w:szCs w:val="44"/>
        </w:rPr>
        <w:t>中国北方稀土（集团）高科技股份有限公司</w:t>
      </w:r>
    </w:p>
    <w:p w14:paraId="36A01AFA">
      <w:pPr>
        <w:jc w:val="center"/>
        <w:rPr>
          <w:rFonts w:ascii="黑体" w:hAnsi="黑体" w:eastAsia="黑体"/>
          <w:color w:val="FF0000"/>
          <w:sz w:val="44"/>
          <w:szCs w:val="44"/>
        </w:rPr>
      </w:pPr>
      <w:r>
        <w:rPr>
          <w:rFonts w:hint="eastAsia" w:ascii="黑体" w:hAnsi="黑体" w:eastAsia="黑体"/>
          <w:color w:val="FF0000"/>
          <w:sz w:val="44"/>
          <w:szCs w:val="44"/>
        </w:rPr>
        <w:t>投资者关系活动记录表</w:t>
      </w:r>
    </w:p>
    <w:p w14:paraId="3737C415">
      <w:pPr>
        <w:jc w:val="right"/>
        <w:rPr>
          <w:rFonts w:ascii="宋体" w:hAnsi="宋体" w:eastAsia="宋体"/>
          <w:sz w:val="28"/>
          <w:szCs w:val="28"/>
        </w:rPr>
      </w:pPr>
      <w:r>
        <w:rPr>
          <w:rFonts w:hint="eastAsia" w:ascii="宋体" w:hAnsi="宋体" w:eastAsia="宋体"/>
          <w:sz w:val="28"/>
          <w:szCs w:val="28"/>
        </w:rPr>
        <w:t>编号：2</w:t>
      </w:r>
      <w:r>
        <w:rPr>
          <w:rFonts w:ascii="宋体" w:hAnsi="宋体" w:eastAsia="宋体"/>
          <w:sz w:val="28"/>
          <w:szCs w:val="28"/>
        </w:rPr>
        <w:t>026-005</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67"/>
      </w:tblGrid>
      <w:tr w14:paraId="2700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16A3C9B">
            <w:pPr>
              <w:spacing w:line="400" w:lineRule="exact"/>
              <w:jc w:val="center"/>
              <w:rPr>
                <w:rFonts w:ascii="宋体" w:hAnsi="宋体" w:eastAsia="宋体"/>
                <w:sz w:val="28"/>
                <w:szCs w:val="28"/>
              </w:rPr>
            </w:pPr>
            <w:r>
              <w:rPr>
                <w:rFonts w:hint="eastAsia" w:ascii="宋体" w:hAnsi="宋体" w:eastAsia="宋体"/>
                <w:sz w:val="28"/>
                <w:szCs w:val="28"/>
              </w:rPr>
              <w:t>投资者关系</w:t>
            </w:r>
          </w:p>
          <w:p w14:paraId="13A4047E">
            <w:pPr>
              <w:spacing w:line="400" w:lineRule="exact"/>
              <w:jc w:val="center"/>
              <w:rPr>
                <w:rFonts w:ascii="宋体" w:hAnsi="宋体" w:eastAsia="宋体"/>
                <w:sz w:val="28"/>
                <w:szCs w:val="28"/>
              </w:rPr>
            </w:pPr>
            <w:r>
              <w:rPr>
                <w:rFonts w:hint="eastAsia" w:ascii="宋体" w:hAnsi="宋体" w:eastAsia="宋体"/>
                <w:sz w:val="28"/>
                <w:szCs w:val="28"/>
              </w:rPr>
              <w:t>活动类别</w:t>
            </w:r>
          </w:p>
        </w:tc>
        <w:tc>
          <w:tcPr>
            <w:tcW w:w="6667" w:type="dxa"/>
          </w:tcPr>
          <w:p w14:paraId="164D04C2">
            <w:pPr>
              <w:spacing w:line="540" w:lineRule="exact"/>
              <w:rPr>
                <w:rFonts w:ascii="宋体" w:hAnsi="宋体" w:eastAsia="宋体"/>
                <w:sz w:val="28"/>
                <w:szCs w:val="28"/>
              </w:rPr>
            </w:pPr>
            <w:r>
              <w:rPr>
                <w:rFonts w:hint="eastAsia" w:ascii="宋体" w:hAnsi="宋体" w:eastAsia="宋体"/>
                <w:sz w:val="28"/>
                <w:szCs w:val="28"/>
              </w:rPr>
              <w:t xml:space="preserve">□ 特定对象调研 </w:t>
            </w:r>
            <w:r>
              <w:rPr>
                <w:rFonts w:ascii="宋体" w:hAnsi="宋体" w:eastAsia="宋体"/>
                <w:sz w:val="28"/>
                <w:szCs w:val="28"/>
              </w:rPr>
              <w:t xml:space="preserve">  </w:t>
            </w:r>
            <w:r>
              <w:rPr>
                <w:rFonts w:hint="eastAsia" w:ascii="宋体" w:hAnsi="宋体" w:eastAsia="宋体"/>
                <w:sz w:val="28"/>
                <w:szCs w:val="28"/>
              </w:rPr>
              <w:t xml:space="preserve">□ 分析师会议 </w:t>
            </w:r>
            <w:r>
              <w:rPr>
                <w:rFonts w:ascii="宋体" w:hAnsi="宋体" w:eastAsia="宋体"/>
                <w:sz w:val="28"/>
                <w:szCs w:val="28"/>
              </w:rPr>
              <w:t xml:space="preserve">      </w:t>
            </w:r>
          </w:p>
          <w:p w14:paraId="23BC35AF">
            <w:pPr>
              <w:spacing w:line="540" w:lineRule="exact"/>
              <w:rPr>
                <w:rFonts w:ascii="宋体" w:hAnsi="宋体" w:eastAsia="宋体"/>
                <w:sz w:val="28"/>
                <w:szCs w:val="28"/>
              </w:rPr>
            </w:pPr>
            <w:r>
              <w:rPr>
                <w:rFonts w:hint="eastAsia" w:ascii="宋体" w:hAnsi="宋体" w:eastAsia="宋体"/>
                <w:sz w:val="28"/>
                <w:szCs w:val="28"/>
              </w:rPr>
              <w:t xml:space="preserve">□ 媒体采访 </w:t>
            </w:r>
            <w:r>
              <w:rPr>
                <w:rFonts w:ascii="宋体" w:hAnsi="宋体" w:eastAsia="宋体"/>
                <w:sz w:val="28"/>
                <w:szCs w:val="28"/>
              </w:rPr>
              <w:t xml:space="preserve">      </w:t>
            </w:r>
            <w:r>
              <w:rPr>
                <w:rFonts w:hint="eastAsia" w:ascii="宋体" w:hAnsi="宋体" w:eastAsia="宋体"/>
                <w:sz w:val="28"/>
                <w:szCs w:val="28"/>
              </w:rPr>
              <w:sym w:font="Wingdings 2" w:char="0052"/>
            </w:r>
            <w:r>
              <w:rPr>
                <w:rFonts w:hint="eastAsia" w:ascii="宋体" w:hAnsi="宋体" w:eastAsia="宋体"/>
                <w:sz w:val="28"/>
                <w:szCs w:val="28"/>
              </w:rPr>
              <w:t>业绩说明会</w:t>
            </w:r>
          </w:p>
          <w:p w14:paraId="06643EB0">
            <w:pPr>
              <w:spacing w:line="540" w:lineRule="exact"/>
              <w:rPr>
                <w:rFonts w:ascii="宋体" w:hAnsi="宋体" w:eastAsia="宋体"/>
                <w:sz w:val="28"/>
                <w:szCs w:val="28"/>
              </w:rPr>
            </w:pPr>
            <w:r>
              <w:rPr>
                <w:rFonts w:hint="eastAsia" w:ascii="宋体" w:hAnsi="宋体" w:eastAsia="宋体"/>
                <w:sz w:val="28"/>
                <w:szCs w:val="28"/>
              </w:rPr>
              <w:t xml:space="preserve">□ 新闻发布会 </w:t>
            </w:r>
            <w:r>
              <w:rPr>
                <w:rFonts w:ascii="宋体" w:hAnsi="宋体" w:eastAsia="宋体"/>
                <w:sz w:val="28"/>
                <w:szCs w:val="28"/>
              </w:rPr>
              <w:t xml:space="preserve">    </w:t>
            </w:r>
            <w:r>
              <w:rPr>
                <w:rFonts w:hint="eastAsia" w:ascii="宋体" w:hAnsi="宋体" w:eastAsia="宋体"/>
                <w:sz w:val="28"/>
                <w:szCs w:val="28"/>
              </w:rPr>
              <w:t>□ 路演活动</w:t>
            </w:r>
          </w:p>
          <w:p w14:paraId="4EC59DAF">
            <w:pPr>
              <w:spacing w:line="540" w:lineRule="exact"/>
              <w:rPr>
                <w:rFonts w:ascii="宋体" w:hAnsi="宋体" w:eastAsia="宋体"/>
                <w:sz w:val="28"/>
                <w:szCs w:val="28"/>
              </w:rPr>
            </w:pPr>
            <w:r>
              <w:rPr>
                <w:rFonts w:hint="eastAsia" w:ascii="宋体" w:hAnsi="宋体" w:eastAsia="宋体"/>
                <w:sz w:val="28"/>
                <w:szCs w:val="28"/>
              </w:rPr>
              <w:t>□ 现场参观</w:t>
            </w:r>
          </w:p>
          <w:p w14:paraId="0E3F21D0">
            <w:pPr>
              <w:spacing w:line="540" w:lineRule="exact"/>
              <w:rPr>
                <w:rFonts w:ascii="宋体" w:hAnsi="宋体" w:eastAsia="宋体"/>
                <w:sz w:val="28"/>
                <w:szCs w:val="28"/>
              </w:rPr>
            </w:pPr>
            <w:r>
              <w:rPr>
                <w:rFonts w:hint="eastAsia" w:ascii="宋体" w:hAnsi="宋体" w:eastAsia="宋体"/>
                <w:sz w:val="28"/>
                <w:szCs w:val="28"/>
              </w:rPr>
              <w:t>□ 其他（请文字说明其他活动内容）</w:t>
            </w:r>
          </w:p>
        </w:tc>
      </w:tr>
      <w:tr w14:paraId="4A4A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7D75EC66">
            <w:pPr>
              <w:spacing w:line="240" w:lineRule="auto"/>
              <w:jc w:val="center"/>
              <w:rPr>
                <w:rFonts w:ascii="宋体" w:hAnsi="宋体" w:eastAsia="宋体"/>
                <w:sz w:val="28"/>
                <w:szCs w:val="28"/>
              </w:rPr>
            </w:pPr>
            <w:r>
              <w:rPr>
                <w:rFonts w:hint="eastAsia" w:ascii="宋体" w:hAnsi="宋体" w:eastAsia="宋体"/>
                <w:sz w:val="28"/>
                <w:szCs w:val="28"/>
              </w:rPr>
              <w:t>来访时间、参会单位（排名不分先后）</w:t>
            </w:r>
          </w:p>
        </w:tc>
        <w:tc>
          <w:tcPr>
            <w:tcW w:w="6667" w:type="dxa"/>
            <w:vAlign w:val="center"/>
          </w:tcPr>
          <w:p w14:paraId="2FFAF9B8">
            <w:pPr>
              <w:spacing w:line="240" w:lineRule="auto"/>
              <w:rPr>
                <w:rFonts w:ascii="宋体" w:hAnsi="宋体" w:eastAsia="宋体"/>
                <w:sz w:val="28"/>
                <w:szCs w:val="28"/>
              </w:rPr>
            </w:pPr>
            <w:r>
              <w:rPr>
                <w:rFonts w:hint="eastAsia" w:ascii="宋体" w:hAnsi="宋体" w:eastAsia="宋体"/>
                <w:sz w:val="28"/>
                <w:szCs w:val="28"/>
              </w:rPr>
              <w:t>2026年5月18日 参加公司在上海证券交易所上证路演中心召开的2026年第一季度业绩说明会的投资者</w:t>
            </w:r>
          </w:p>
        </w:tc>
      </w:tr>
      <w:tr w14:paraId="4B2B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34B29467">
            <w:pPr>
              <w:spacing w:line="240" w:lineRule="auto"/>
              <w:jc w:val="center"/>
              <w:rPr>
                <w:rFonts w:ascii="宋体" w:hAnsi="宋体" w:eastAsia="宋体"/>
                <w:sz w:val="28"/>
                <w:szCs w:val="28"/>
              </w:rPr>
            </w:pPr>
            <w:r>
              <w:rPr>
                <w:rFonts w:hint="eastAsia" w:ascii="宋体" w:hAnsi="宋体" w:eastAsia="宋体"/>
                <w:sz w:val="28"/>
                <w:szCs w:val="28"/>
              </w:rPr>
              <w:t>地点及形式</w:t>
            </w:r>
          </w:p>
        </w:tc>
        <w:tc>
          <w:tcPr>
            <w:tcW w:w="6667" w:type="dxa"/>
            <w:vAlign w:val="center"/>
          </w:tcPr>
          <w:p w14:paraId="41F4108E">
            <w:pPr>
              <w:spacing w:line="240" w:lineRule="auto"/>
              <w:rPr>
                <w:rFonts w:ascii="宋体" w:hAnsi="宋体" w:eastAsia="宋体"/>
                <w:sz w:val="28"/>
                <w:szCs w:val="28"/>
              </w:rPr>
            </w:pPr>
            <w:r>
              <w:rPr>
                <w:rFonts w:hint="eastAsia" w:ascii="宋体" w:hAnsi="宋体" w:eastAsia="宋体"/>
                <w:sz w:val="28"/>
                <w:szCs w:val="28"/>
              </w:rPr>
              <w:t>上海证券交易所上证路演中心 网络文字互动</w:t>
            </w:r>
          </w:p>
        </w:tc>
      </w:tr>
      <w:tr w14:paraId="46CD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22" w:type="dxa"/>
            <w:vAlign w:val="center"/>
          </w:tcPr>
          <w:p w14:paraId="6E94E2E1">
            <w:pPr>
              <w:spacing w:line="400" w:lineRule="exact"/>
              <w:jc w:val="center"/>
              <w:rPr>
                <w:rFonts w:ascii="宋体" w:hAnsi="宋体" w:eastAsia="宋体"/>
                <w:sz w:val="28"/>
                <w:szCs w:val="28"/>
              </w:rPr>
            </w:pPr>
            <w:r>
              <w:rPr>
                <w:rFonts w:hint="eastAsia" w:ascii="宋体" w:hAnsi="宋体" w:eastAsia="宋体"/>
                <w:sz w:val="28"/>
                <w:szCs w:val="28"/>
              </w:rPr>
              <w:t>公司接待人员</w:t>
            </w:r>
          </w:p>
        </w:tc>
        <w:tc>
          <w:tcPr>
            <w:tcW w:w="6667" w:type="dxa"/>
            <w:vAlign w:val="center"/>
          </w:tcPr>
          <w:p w14:paraId="60D0D6CF">
            <w:pPr>
              <w:spacing w:line="540" w:lineRule="exact"/>
              <w:rPr>
                <w:rFonts w:ascii="宋体" w:hAnsi="宋体" w:eastAsia="宋体"/>
                <w:sz w:val="28"/>
                <w:szCs w:val="28"/>
              </w:rPr>
            </w:pPr>
            <w:r>
              <w:rPr>
                <w:rFonts w:hint="eastAsia" w:ascii="宋体" w:hAnsi="宋体" w:eastAsia="宋体"/>
                <w:sz w:val="28"/>
                <w:szCs w:val="28"/>
              </w:rPr>
              <w:t>公司董事、总经理、党委副书记瞿业栋先生，独立董事杨文浩先生，董事、董事会秘书、首席合规官吴永钢先生，董事、财务总监宋泠女士。</w:t>
            </w:r>
          </w:p>
        </w:tc>
      </w:tr>
      <w:tr w14:paraId="4DF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vAlign w:val="center"/>
          </w:tcPr>
          <w:p w14:paraId="5C7832FD">
            <w:pPr>
              <w:spacing w:line="400" w:lineRule="exact"/>
              <w:jc w:val="center"/>
              <w:rPr>
                <w:rFonts w:ascii="宋体" w:hAnsi="宋体" w:eastAsia="宋体"/>
                <w:sz w:val="28"/>
                <w:szCs w:val="28"/>
              </w:rPr>
            </w:pPr>
            <w:r>
              <w:rPr>
                <w:rFonts w:hint="eastAsia" w:ascii="宋体" w:hAnsi="宋体" w:eastAsia="宋体"/>
                <w:sz w:val="28"/>
                <w:szCs w:val="28"/>
              </w:rPr>
              <w:t>投资者关系活动主要内容</w:t>
            </w:r>
          </w:p>
        </w:tc>
        <w:tc>
          <w:tcPr>
            <w:tcW w:w="6667" w:type="dxa"/>
          </w:tcPr>
          <w:p w14:paraId="71516D26">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问题1：公司2026年一季度业绩大幅增长,主要驱动因素是什么？除了镨钕产品价格上涨外，还有哪些因素贡献了业绩增长？</w:t>
            </w:r>
          </w:p>
          <w:p w14:paraId="5BD55100">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国家“十五五”规划中明确提出，要“持续增强稀土竞争优势，加强重要战略性矿产高质高效综合利用”，这一部署将为“十五五”期间我国稀土产业高质量发展提供重要指引与根本遵循。同时，要高度重视稀土安全保护，严格落实国家政策要求，推进产业安全全流程管控，维护产业安全稳定发展。</w:t>
            </w:r>
          </w:p>
          <w:p w14:paraId="2191532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2026年一季度，以稀土永磁材料为代表的下游需求呈现增长势头，带动稀土市场整体呈走强态势。公司坚持稳中求进工作总基调，完整准确全面贯彻新发展理念，加快构建新发展格局，围绕年度生产经营任务目标，统筹谋划、综合施策，苦练内功、协同发力，在生产经营管理各领域找不足、锻长板、强弱项，强化全面预算管理，协同降本提质增效，科学组产排产，发力市场营销运作，深化改革创新，强化集团管理与风险防控，推进重点项目建设，以管理与科研创新加快发展新质生产力，以良好的产业链价值创造力和核心竞争力为公司取得良好经营业绩提供坚实助力与保障。</w:t>
            </w:r>
          </w:p>
          <w:p w14:paraId="5F2EE29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立足各产业板块精准施策：冶炼分离板块结合各产线生产成本、工艺特色等情况科学组产排产，保障产品供应新需求；稀土金属板块以强化精益生产理念为抓手，利用数智化手段进一步加强现场工艺操作管理，推动质量、料比等经济技术指标新突破；稀土新材料和应用板块充分发挥新增产能优势，精准对接客户需求，以产促销新进展。深化产业链协同联动，在保证产品稳定供应基础上，稳固下游客户合作根基，稀土金属、磁性材料销量稳步提升，实现磁材头部企业全覆盖；镧铈类产品优化营销运作，以长协保障基本盘，以零售满足市场差异化需求，扩大市场占有率；磁材企业持续发挥产能优势，稳步提升周边地区供应量，包头地区覆盖面达到95%以上；抛光材料通过拓展客户，打造低成本新产品，扩大市场份额，高端领域销量实现小幅增长；研发的多款具有高储氢密度、常温低压快速吸放氢、超长循环寿命等高性能固态储氢材料已投放市场；稀土永磁电机系统服务客户能力持续提升，单体项目中标金额首次突破千万元，应用场景进一步拓展。</w:t>
            </w:r>
          </w:p>
          <w:p w14:paraId="24B6BCC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聚焦主责主业与产业提档升级，有序推进稀土金属、磁材合金等产业链相关并购重组、合资合作、扩能增产项目建设。稀土绿色冶炼升级改造项目一期已投产、产线全线贯通，二期主工艺厂房主体结构已完成，开始内部施工；合资成立新公司建设稀土金属合金生产线项目，拓展金属产品品种，打造行业领先的智能化稀土金属生产线标杆；合资成立新公司建设含铈钕铁硼磁性材料生产线项目，进一步完善永磁材料高中低端产业布局。公司强化科技创新赋能，加大科技创新保障力度，持续加大科研投入力度，获得授权专利</w:t>
            </w:r>
            <w:r>
              <w:rPr>
                <w:rFonts w:ascii="宋体" w:hAnsi="宋体" w:eastAsia="宋体"/>
                <w:bCs/>
                <w:sz w:val="28"/>
                <w:szCs w:val="28"/>
              </w:rPr>
              <w:t>38</w:t>
            </w:r>
            <w:r>
              <w:rPr>
                <w:rFonts w:hint="eastAsia" w:ascii="宋体" w:hAnsi="宋体" w:eastAsia="宋体"/>
                <w:bCs/>
                <w:sz w:val="28"/>
                <w:szCs w:val="28"/>
              </w:rPr>
              <w:t>件，其中发明专利</w:t>
            </w:r>
            <w:r>
              <w:rPr>
                <w:rFonts w:ascii="宋体" w:hAnsi="宋体" w:eastAsia="宋体"/>
                <w:bCs/>
                <w:sz w:val="28"/>
                <w:szCs w:val="28"/>
              </w:rPr>
              <w:t>31</w:t>
            </w:r>
            <w:r>
              <w:rPr>
                <w:rFonts w:hint="eastAsia" w:ascii="宋体" w:hAnsi="宋体" w:eastAsia="宋体"/>
                <w:bCs/>
                <w:sz w:val="28"/>
                <w:szCs w:val="28"/>
              </w:rPr>
              <w:t>件；发布国家标准</w:t>
            </w:r>
            <w:r>
              <w:rPr>
                <w:rFonts w:ascii="宋体" w:hAnsi="宋体" w:eastAsia="宋体"/>
                <w:bCs/>
                <w:sz w:val="28"/>
                <w:szCs w:val="28"/>
              </w:rPr>
              <w:t>3</w:t>
            </w:r>
            <w:r>
              <w:rPr>
                <w:rFonts w:hint="eastAsia" w:ascii="宋体" w:hAnsi="宋体" w:eastAsia="宋体"/>
                <w:bCs/>
                <w:sz w:val="28"/>
                <w:szCs w:val="28"/>
              </w:rPr>
              <w:t>项，国家样品标准</w:t>
            </w:r>
            <w:r>
              <w:rPr>
                <w:rFonts w:ascii="宋体" w:hAnsi="宋体" w:eastAsia="宋体"/>
                <w:bCs/>
                <w:sz w:val="28"/>
                <w:szCs w:val="28"/>
              </w:rPr>
              <w:t>4</w:t>
            </w:r>
            <w:r>
              <w:rPr>
                <w:rFonts w:hint="eastAsia" w:ascii="宋体" w:hAnsi="宋体" w:eastAsia="宋体"/>
                <w:bCs/>
                <w:sz w:val="28"/>
                <w:szCs w:val="28"/>
              </w:rPr>
              <w:t>项；开发新型阻燃剂和抛光液新产品</w:t>
            </w:r>
            <w:r>
              <w:rPr>
                <w:rFonts w:ascii="宋体" w:hAnsi="宋体" w:eastAsia="宋体"/>
                <w:bCs/>
                <w:sz w:val="28"/>
                <w:szCs w:val="28"/>
              </w:rPr>
              <w:t>2</w:t>
            </w:r>
            <w:r>
              <w:rPr>
                <w:rFonts w:hint="eastAsia" w:ascii="宋体" w:hAnsi="宋体" w:eastAsia="宋体"/>
                <w:bCs/>
                <w:sz w:val="28"/>
                <w:szCs w:val="28"/>
              </w:rPr>
              <w:t>项。持续推进科技成果转化，稀贝丝</w:t>
            </w:r>
            <w:r>
              <w:rPr>
                <w:rFonts w:hint="cs" w:ascii="宋体" w:hAnsi="宋体" w:eastAsia="宋体"/>
                <w:bCs/>
                <w:sz w:val="28"/>
                <w:szCs w:val="28"/>
              </w:rPr>
              <w:t>®</w:t>
            </w:r>
            <w:r>
              <w:rPr>
                <w:rFonts w:hint="eastAsia" w:ascii="宋体" w:hAnsi="宋体" w:eastAsia="宋体"/>
                <w:bCs/>
                <w:sz w:val="28"/>
                <w:szCs w:val="28"/>
              </w:rPr>
              <w:t>系列稀土功能纤维成功入选“中国纤维流行趋势</w:t>
            </w:r>
            <w:r>
              <w:rPr>
                <w:rFonts w:ascii="宋体" w:hAnsi="宋体" w:eastAsia="宋体"/>
                <w:bCs/>
                <w:sz w:val="28"/>
                <w:szCs w:val="28"/>
              </w:rPr>
              <w:t>2026/2027”</w:t>
            </w:r>
            <w:r>
              <w:rPr>
                <w:rFonts w:hint="eastAsia" w:ascii="宋体" w:hAnsi="宋体" w:eastAsia="宋体"/>
                <w:bCs/>
                <w:sz w:val="28"/>
                <w:szCs w:val="28"/>
              </w:rPr>
              <w:t>，包头稀土研究院获批内蒙古自治区概念验证平台，“稀土改性高分子材料专用料及制品产业化关键技术”获得第十四届中国创新创业大赛技术创新大赛总决赛优胜奖，撬装式固态加氢站获得内蒙古自治区“首台套”认定。此外，公司紧盯市场需求，开发新产品</w:t>
            </w:r>
            <w:r>
              <w:rPr>
                <w:rFonts w:ascii="宋体" w:hAnsi="宋体" w:eastAsia="宋体"/>
                <w:bCs/>
                <w:sz w:val="28"/>
                <w:szCs w:val="28"/>
              </w:rPr>
              <w:t>2</w:t>
            </w:r>
            <w:r>
              <w:rPr>
                <w:rFonts w:hint="eastAsia" w:ascii="宋体" w:hAnsi="宋体" w:eastAsia="宋体"/>
                <w:bCs/>
                <w:sz w:val="28"/>
                <w:szCs w:val="28"/>
              </w:rPr>
              <w:t xml:space="preserve">项，定制化、特色化小品种产品14项，小品种产品产量同比增长107.31%。 </w:t>
            </w:r>
          </w:p>
          <w:p w14:paraId="1173F70E">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持续提升绿色制造水平，全面开展绿色工厂培育，实施碳排放双控目标管理，强化对标升级、节能提效，明确碳足迹工作任务，促进产业链和供应链转型升级，增强绿色低碳竞争力，充分发挥绿色工厂在制造业绿色低碳转型中的基础性和导向性作用，积极引领稀土产业在绿色低碳转型道路上稳步前行。</w:t>
            </w:r>
          </w:p>
          <w:p w14:paraId="7EE9FB0F">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公司通过研判、开拓和引导市场，分类施策，精准调控与内外协同联动，不断增强核心竞争力，为第一季度业绩增长及高质量发展提供了坚实保障。</w:t>
            </w:r>
          </w:p>
          <w:p w14:paraId="5E232502">
            <w:pPr>
              <w:spacing w:line="500" w:lineRule="exact"/>
              <w:ind w:firstLine="562" w:firstLineChars="200"/>
              <w:rPr>
                <w:rFonts w:ascii="宋体" w:hAnsi="宋体" w:eastAsia="宋体"/>
                <w:bCs/>
                <w:sz w:val="28"/>
                <w:szCs w:val="28"/>
              </w:rPr>
            </w:pPr>
            <w:r>
              <w:rPr>
                <w:rFonts w:hint="eastAsia" w:ascii="宋体" w:hAnsi="宋体" w:eastAsia="宋体"/>
                <w:b/>
                <w:bCs/>
                <w:sz w:val="28"/>
                <w:szCs w:val="28"/>
              </w:rPr>
              <w:t>问题2：一季度应收账款增长36%，经营现金流转负，主要原因是什么？二季度能否改善</w:t>
            </w:r>
            <w:r>
              <w:rPr>
                <w:rFonts w:hint="eastAsia" w:ascii="宋体" w:hAnsi="宋体" w:eastAsia="宋体"/>
                <w:bCs/>
                <w:sz w:val="28"/>
                <w:szCs w:val="28"/>
              </w:rPr>
              <w:t>？</w:t>
            </w:r>
          </w:p>
          <w:p w14:paraId="766E5325">
            <w:pPr>
              <w:spacing w:line="500" w:lineRule="exact"/>
              <w:ind w:firstLine="560" w:firstLineChars="200"/>
              <w:rPr>
                <w:rFonts w:ascii="宋体" w:hAnsi="宋体" w:eastAsia="宋体"/>
                <w:b/>
                <w:sz w:val="28"/>
                <w:szCs w:val="28"/>
              </w:rPr>
            </w:pPr>
            <w:r>
              <w:rPr>
                <w:rFonts w:hint="eastAsia" w:ascii="宋体" w:hAnsi="宋体" w:eastAsia="宋体"/>
                <w:bCs/>
                <w:sz w:val="28"/>
                <w:szCs w:val="28"/>
              </w:rPr>
              <w:t>答：2026年一季度，公司磁性材料板块销售收入增加，影响账期内应收货款比年初增加，对公司经营活动现金流产生了一定影响。公司销售政策保持稳定，公司将加强对应收账款规模和风险的管控，进而改善经营活动现金流。</w:t>
            </w:r>
          </w:p>
          <w:p w14:paraId="0BC8AEC5">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问题3：2026年的销售订单预计大概能比2025年增加或者减少百分之多少？</w:t>
            </w:r>
          </w:p>
          <w:p w14:paraId="3545CFB4">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2026年，随着新能源汽车、工业电机、人形机器人、风电、低空经济等下游产业蓬勃发展对稀土产品的需求拉动，稀土产业将继续呈现向上向好向优发展趋势，公司将紧抓市场机遇，苦练内功，充分发挥产能优势，强化营销运作，加大市场开拓力度，精准对接客户需求，深化产业链协同联动，稳固扩大下游客户合作根基，努力推动公司主要产品销量稳步提升。</w:t>
            </w:r>
          </w:p>
          <w:p w14:paraId="5BE29839">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2026年一季度，公司稀土金属、磁性材料销量稳步提升，实现磁材头部企业全覆盖；镧铈类产品优化营销运作，以长协保障基本盘，以零售满足市场差异化需求，扩大市场占有率；磁材企业持续发挥产能优势，稳步提升周边地区供应量，包头地区覆盖面达到95%以上；抛光材料通过拓展客户，打造低成本新产品，扩大市场份额，高端领域销量实现小幅增长；稀土永磁电机系统服务客户能力持续提升，单体项目中标金额首次突破千万元，应用场景进一步拓展。</w:t>
            </w:r>
          </w:p>
          <w:p w14:paraId="74AF55CE">
            <w:pPr>
              <w:spacing w:line="500" w:lineRule="exact"/>
              <w:ind w:firstLine="562" w:firstLineChars="200"/>
              <w:rPr>
                <w:rFonts w:ascii="宋体" w:hAnsi="宋体" w:eastAsia="宋体"/>
                <w:bCs/>
                <w:sz w:val="28"/>
                <w:szCs w:val="28"/>
              </w:rPr>
            </w:pPr>
            <w:r>
              <w:rPr>
                <w:rFonts w:hint="eastAsia" w:ascii="宋体" w:hAnsi="宋体" w:eastAsia="宋体"/>
                <w:b/>
                <w:sz w:val="28"/>
                <w:szCs w:val="28"/>
              </w:rPr>
              <w:t>问题4：请问今年或者最近是否有扩产计划？</w:t>
            </w:r>
          </w:p>
          <w:p w14:paraId="7E49EA52">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答：稀土上游冶炼分离端，公司严格按照稀土管理条例及国家对稀土产业的指导意见科学组产排产，保障产业链供应链安全稳定；下游稀土新材料及应用产业根据市场需求进行资源匹配，保障产品供应。</w:t>
            </w:r>
          </w:p>
          <w:p w14:paraId="6095210C">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问题5：2025年以来，贵公司业绩实现持续增长，盈利能力显著提升。在当前稀土市场整体上行、行业格局发生深刻变化的背景下，公司具体采取了哪些经营举措，以推动经营质效的持续改善与提升？</w:t>
            </w:r>
          </w:p>
          <w:p w14:paraId="2442651B">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经过多年发展形成以稀土资源为基础、冶炼分离为核心、新材料领域建设为重点、终端应用为拓展方向的产业结构，并依托创新驱动发展战略持续促进产业结构调整和转型升级，实现稀土上中下游一体化发展，构筑了行业领先的竞争优势。</w:t>
            </w:r>
          </w:p>
          <w:p w14:paraId="15BFAC6B">
            <w:pPr>
              <w:spacing w:line="500" w:lineRule="exact"/>
              <w:ind w:firstLine="560" w:firstLineChars="200"/>
              <w:rPr>
                <w:rFonts w:ascii="宋体" w:hAnsi="宋体" w:eastAsia="宋体"/>
                <w:bCs/>
                <w:sz w:val="28"/>
                <w:szCs w:val="28"/>
              </w:rPr>
            </w:pPr>
            <w:r>
              <w:rPr>
                <w:rFonts w:hint="eastAsia" w:ascii="宋体" w:hAnsi="宋体" w:eastAsia="宋体"/>
                <w:bCs/>
                <w:sz w:val="28"/>
                <w:szCs w:val="28"/>
              </w:rPr>
              <w:t>2025年，是全球稀土产业格局重塑的关键之年，是我国稀土产业战略地位跃升的关键之年，也是公司经营发展实现历史突破的关键之年，公司营业收入首次突破400亿元。随着新能源汽车、永磁电机、风力发电、低空经济等下游新能源新材料产业快速发展，公司践行国家产业政策，提升服务国家战略能力，通过持续强化科学组产排产、管理提升、改革创效、科研创新、产业链并购重组等卓有成效的发展举措，保持了较好的产业链价值创造能力，展现较强的抗风险能力，为公司深化高质量发展奠定了坚实基础。</w:t>
            </w:r>
          </w:p>
          <w:p w14:paraId="47F3C74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 xml:space="preserve">2025年度公司实现营业收入425.63亿元，同比增长29.11%；归属于上市公司股东的净利润22.51亿元，同比增长124.17%；加权平均净资产收益率9.56%，同比增加4.99个百分点；每股收益0.6227元，同比提升124.17%；公司营收、利润、产值、市值保持行业第一，实现“十四五”圆满收官。2026年第一季度公司实现营业收入118.59亿元，同比增长27.69%；归属于上市公司股东的净利润9.18亿元，同比增长113.12%；加权平均净资产收益率3.65%，同比增加1.75个百分点；基本每股收益0.2539元/股，同比增长113.12%。 </w:t>
            </w:r>
          </w:p>
          <w:p w14:paraId="3FEC7858">
            <w:pPr>
              <w:spacing w:line="500" w:lineRule="exact"/>
              <w:ind w:firstLine="560" w:firstLineChars="200"/>
              <w:rPr>
                <w:rFonts w:ascii="宋体" w:hAnsi="宋体" w:eastAsia="宋体"/>
                <w:bCs/>
                <w:sz w:val="28"/>
                <w:szCs w:val="28"/>
              </w:rPr>
            </w:pPr>
            <w:r>
              <w:rPr>
                <w:rFonts w:hint="eastAsia" w:ascii="宋体" w:hAnsi="宋体" w:eastAsia="宋体"/>
                <w:bCs/>
                <w:sz w:val="28"/>
                <w:szCs w:val="28"/>
              </w:rPr>
              <w:t xml:space="preserve">具体看，公司抢抓市场关键机遇，统筹推进“五统一”科学组产模式，呈现亮点如下： </w:t>
            </w:r>
          </w:p>
          <w:p w14:paraId="44907FBE">
            <w:pPr>
              <w:spacing w:line="500" w:lineRule="exact"/>
              <w:ind w:firstLine="560" w:firstLineChars="200"/>
              <w:rPr>
                <w:rFonts w:ascii="宋体" w:hAnsi="宋体" w:eastAsia="宋体"/>
                <w:bCs/>
                <w:sz w:val="28"/>
                <w:szCs w:val="28"/>
              </w:rPr>
            </w:pPr>
            <w:r>
              <w:rPr>
                <w:rFonts w:hint="eastAsia" w:ascii="宋体" w:hAnsi="宋体" w:eastAsia="宋体"/>
                <w:bCs/>
                <w:sz w:val="28"/>
                <w:szCs w:val="28"/>
              </w:rPr>
              <w:t>一是产能效益实现新提升。公司聚焦主责主业，推动产品产量同比提升。其中，稀土金属依托技术提升、装备升级，产量较上年同期稳步提升；磁材、抛光、永磁电机、储氢等产品坚持面向市场转型升级，产销量均创历史新高。二是重点领域取得新突破。近年来首次实现镧铈产品年度销大于产，镧铈产品库存消化成效显著；磁材企业持续发挥产能优势，稳步提升周边地区供应量，包头地区覆盖面达到95%以上；稀土永磁电机系统服务客户能力持续提升，单体项目中标金额首次突破千万元，应用场景进一步拓展。三是产品投放展现新活力。公司强化研产销协同联动，开发13种新产品投放市场；抛光材料通过拓展客户，打造低成本新产品，扩大市场份额，高端领域销量实现小幅增长；固态储氢装置实现量产，为产业延伸奠定基础。四是绿色发展注入新动能。公司依托绿色创新工艺技术迭代升级推动高质量发展。目前，稀土绿色冶炼升级改造项目一期已投产，产线全线贯通；二期主工艺厂房主体结构已完成，开始内部施工。五是产业布局拓展新范式。公司聚焦完善稀土产业链布局，稀土金属、磁材合金、磁体及二次资源利用等产业链并购重组、合资合作、扩能增产项目建设高效推进。六是科技创新彰显新成效。公司持续加大科技创新保障力度，改革科研机制，完善科研管理体系，部分科研成果转化项目实现规模化生产，稀土产业链供应链安全稳定保障能力显著增强。绿色化、智能化赋能升级，运营管控智慧化建设由“局部应用”向“综合集成”迈进，公司关键工序数控化率及生产设备数字化率进一步提升，获评国家工信部首批卓越级智能工厂。</w:t>
            </w:r>
          </w:p>
          <w:p w14:paraId="733B598F">
            <w:pPr>
              <w:spacing w:line="500" w:lineRule="exact"/>
              <w:ind w:firstLine="560" w:firstLineChars="200"/>
              <w:rPr>
                <w:rFonts w:ascii="宋体" w:hAnsi="宋体" w:eastAsia="宋体"/>
                <w:bCs/>
                <w:sz w:val="28"/>
                <w:szCs w:val="28"/>
              </w:rPr>
            </w:pPr>
            <w:r>
              <w:rPr>
                <w:rFonts w:hint="eastAsia" w:ascii="宋体" w:hAnsi="宋体" w:eastAsia="宋体"/>
                <w:bCs/>
                <w:sz w:val="28"/>
                <w:szCs w:val="28"/>
              </w:rPr>
              <w:t>未来，公司将继续以服务国家战略需求、引领稀土产业高质量发展为己任，以高端化、智能化、绿色化、融合化为发展方向，以改革创新为根本动力，聚焦主责主业，加快推进重点项目建设及合资合作步伐，大力发展新质生产力，增强核心功能、提升核心竞争力，全面巩固规模优势。</w:t>
            </w:r>
          </w:p>
          <w:p w14:paraId="734EE04F">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问题6：人形机器人被认为是稀土永磁的第二增长曲线，公司在人形机器人领域有哪些布局？低空经济、商业航天快速发展，电机、卫星、火箭都需要稀土永磁。公司在这些新兴领域有哪些布局和进展？</w:t>
            </w:r>
          </w:p>
          <w:p w14:paraId="34001B0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近年来，稀土产业下游需求结构持续优化，新能源与高端制造成为需求增长核心引擎，强力拉动稀土需求规模快速扩张。人形机器人、低空经济等新兴领域快速崛起，为稀土行业开辟增量市场空间，人形机器人与人工智能技术作为引领未来科技发展的重要方向，为稀土产业高质量发展注入持久动力。</w:t>
            </w:r>
          </w:p>
          <w:p w14:paraId="0319BDC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依托稀土核心资源优势，持续提升稀土产品附加值，推进稀土元素平衡高效、高值化利用，加速产业向下游高端化、高附加值领域延伸，精准适配新兴产业发展新需求。公司聚焦人形机器人、低空经济核心用材需求，布局开发烧结钕铁硼磁环、热压钕铁硼磁环技术及装备，推动相关中试线的建设工作，匹配机器人关节、低空装备等场景应用；围绕人形机器人关节、手部核心驱动部件，针对性布局高性能稀土永磁电机的研究开发工作，夯实新兴领域技术储备。公司申报“稀土新材料及产品在具身智能和低空经济领域的应用”，成功入选人力资源和社会保障部2026年专业技术人才高级研修项目计划。项目聚焦稀土新材料的独特性能，破解具身智能与低空经济关键材料瓶颈，推动稀土资源从“原料端”向“高附加值应用端”转化，推动战略性新兴产业发展。</w:t>
            </w:r>
          </w:p>
          <w:p w14:paraId="7BB53F6B">
            <w:pPr>
              <w:spacing w:line="500" w:lineRule="exact"/>
              <w:ind w:firstLine="560" w:firstLineChars="200"/>
              <w:rPr>
                <w:rFonts w:ascii="宋体" w:hAnsi="宋体" w:eastAsia="宋体"/>
                <w:bCs/>
                <w:sz w:val="28"/>
                <w:szCs w:val="28"/>
              </w:rPr>
            </w:pPr>
            <w:r>
              <w:rPr>
                <w:rFonts w:hint="eastAsia" w:ascii="宋体" w:hAnsi="宋体" w:eastAsia="宋体"/>
                <w:bCs/>
                <w:sz w:val="28"/>
                <w:szCs w:val="28"/>
              </w:rPr>
              <w:t>公司稳步做大做强磁性材料产业规模，为下游新兴产业发展筑牢原料保障；立足现有永磁电机产业根基，依托技术创新、合资合作等多元模式延链补链，培育差异化、特色化永磁电机产业。紧扣人形机器人、低空经济对高端结构材料的升级需求，加快稀土铝镁合金等新型材料研发攻关，持续拓宽稀土多元化应用场景。公司整合各类科研平台的人才、技术与创新资源，构建完善科创支撑体系，深化产学研用深度融合，持续精进全链条技术研发与成果转化能力。依托科研创新等全产业链生产要素累积和进步，以各领域各环节创新驱动加快推动技术革命性突破、生产要素创新性配置、产业深度转型升级、生产要素优化组合，发展新质生产力新动能，坚持以创新驱动促进产业提档升级，提升全要素生产率，积极促进公司全产业链高端化、智能化、绿色化发展。</w:t>
            </w:r>
            <w:bookmarkStart w:id="0" w:name="_GoBack"/>
            <w:bookmarkEnd w:id="0"/>
          </w:p>
          <w:p w14:paraId="7F26396C">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问题7：公司在产业链延伸方面有哪些规划？是否会进一步向下游终端应用领域拓展？</w:t>
            </w:r>
          </w:p>
          <w:p w14:paraId="63D861A1">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经过多年发展，公司在行业内率先发展成为集稀土冶炼分离、功能材料、应用产品、科研和贸易一体化的集团化上市公司，形成以稀土资源为基础、冶炼分离为核心、新材料领域为重点、终端应用为拓展方向的产业结构，并依托创新驱动发展战略持续促进产业结构调整和转型升级，实现稀土上中下游一体化发展，构筑了行业领先的全产业链竞争优势。公司布局磁性材料、抛光材料、储能材料、催化助剂、高纯金属与合金、光功能材料六大产业，打通：（1）稀土永磁材料—永磁电机产业链，不断提升永磁电机生产能力；（2）打通稀土储氢材料—固态储氢产业链，围绕氢燃料两轮车、固态储氢叉车、加氢站等固态储氢领域布局，推动产业化应用；（3）打通稀土合金—稀土铁、稀土铝镁中间合金产业链,建设高纯稀土金属、靶材规模化生产示范线,推动稀土铝镁合金在先进轨道交通、轻量化型材等应用上取得突破；（4）巩固扩大稀土抛光材料产业国内外优势领先地位,突破高性能稀土抛光粉、高档玻璃基片抛光等高端产品生产技术，打破国外垄断；（5）打通稀土催化材料—尾气净化功能器件产业链,聚焦工业尾气治理、机动车尾气净化、挥发性有机物治理以及石油化工等领域实现产业化；（6）拓展稀土光功能材料应用领域,加大对稀土多彩反射隔热涂料、稀土红外辐射材料、稀土红外蓄热温升材料的成果转化和推广应用。例如：公司针对建筑玻璃保温隔热性差的问题，研发的稀土纳米断热涂层，显著降低空调能耗；为缓解建筑外墙与金属表面热量聚集，公司开发出含镧铈化合物25%以上的稀土多彩反射隔热涂料，有效缓解热岛效应；基于轻稀土独特的光功能特性，公司开发出聚酯基稀土功能纤维，实现织物蓄热、隔热或紫外屏蔽等智能调温性能等。</w:t>
            </w:r>
          </w:p>
          <w:p w14:paraId="0ACE3603">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问题8：请问公司与包钢股份资产重组目前有无最新推进，今年是否有落地预期？</w:t>
            </w:r>
          </w:p>
          <w:p w14:paraId="1DB6D9CC">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从未听说此事。近期，有关方面就加强网络生态治理进行专项部署，指出网络乱象污染社会风气，侵犯利益，要坚决打击，切断利益链和产业链，铲除其滋生的土壤和条件，持续营造风清气正的网络空间。</w:t>
            </w:r>
          </w:p>
          <w:p w14:paraId="4E3064A7">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问题9：关于市场热议的重组预期，请问公司与包钢股份资产重组目前有无最新推进，今年是否有落地预期？集团层面资产整合方面有无具体规划或节点？</w:t>
            </w:r>
          </w:p>
          <w:p w14:paraId="0A8DB414">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从未听说此事。近期，有关方面就加强网络生态治理进行专项部署，指出网络乱象污染社会风气，侵犯利益，要坚决打击，切断利益链和产业链，铲除其滋生的土壤和条件，持续营造风清气正的网络空间。</w:t>
            </w:r>
          </w:p>
          <w:p w14:paraId="18101CA6">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问题10：中美关系缓和是否影响稀土出口管制？下半年稀土价格走势如何判断？</w:t>
            </w:r>
          </w:p>
          <w:p w14:paraId="65047307">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出口产品主要以轻稀土产品为主，严格执行国家有关管制政策法规，满足市场产品需求。稀土产品价格主要受市场供需、成本、预期等多方面综合影响。稀土产品价格在合理区间内波动，有利于稀土产业链上下游高质量发展。</w:t>
            </w:r>
          </w:p>
          <w:p w14:paraId="76BDAD74">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问题11：股东人数比上一个财报期间增加或减少百分之多少？</w:t>
            </w:r>
          </w:p>
          <w:p w14:paraId="75836CD0">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答：截至2026年5月10日，公司股东人数603</w:t>
            </w:r>
            <w:r>
              <w:rPr>
                <w:rFonts w:ascii="宋体" w:hAnsi="宋体" w:eastAsia="宋体"/>
                <w:bCs/>
                <w:sz w:val="28"/>
                <w:szCs w:val="28"/>
              </w:rPr>
              <w:t>,</w:t>
            </w:r>
            <w:r>
              <w:rPr>
                <w:rFonts w:hint="eastAsia" w:ascii="宋体" w:hAnsi="宋体" w:eastAsia="宋体"/>
                <w:bCs/>
                <w:sz w:val="28"/>
                <w:szCs w:val="28"/>
              </w:rPr>
              <w:t>463户，较2026年3月31日一季报披露的550</w:t>
            </w:r>
            <w:r>
              <w:rPr>
                <w:rFonts w:ascii="宋体" w:hAnsi="宋体" w:eastAsia="宋体"/>
                <w:bCs/>
                <w:sz w:val="28"/>
                <w:szCs w:val="28"/>
              </w:rPr>
              <w:t>,</w:t>
            </w:r>
            <w:r>
              <w:rPr>
                <w:rFonts w:hint="eastAsia" w:ascii="宋体" w:hAnsi="宋体" w:eastAsia="宋体"/>
                <w:bCs/>
                <w:sz w:val="28"/>
                <w:szCs w:val="28"/>
              </w:rPr>
              <w:t>771户增加52</w:t>
            </w:r>
            <w:r>
              <w:rPr>
                <w:rFonts w:ascii="宋体" w:hAnsi="宋体" w:eastAsia="宋体"/>
                <w:bCs/>
                <w:sz w:val="28"/>
                <w:szCs w:val="28"/>
              </w:rPr>
              <w:t>,</w:t>
            </w:r>
            <w:r>
              <w:rPr>
                <w:rFonts w:hint="eastAsia" w:ascii="宋体" w:hAnsi="宋体" w:eastAsia="宋体"/>
                <w:bCs/>
                <w:sz w:val="28"/>
                <w:szCs w:val="28"/>
              </w:rPr>
              <w:t>692户。</w:t>
            </w:r>
          </w:p>
        </w:tc>
      </w:tr>
      <w:tr w14:paraId="0EB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2"/>
            <w:vAlign w:val="center"/>
          </w:tcPr>
          <w:p w14:paraId="5E737748">
            <w:pPr>
              <w:spacing w:line="500" w:lineRule="exact"/>
              <w:rPr>
                <w:rFonts w:ascii="宋体" w:hAnsi="宋体" w:eastAsia="宋体"/>
                <w:sz w:val="28"/>
                <w:szCs w:val="28"/>
              </w:rPr>
            </w:pPr>
            <w:r>
              <w:rPr>
                <w:rFonts w:hint="eastAsia" w:ascii="宋体" w:hAnsi="宋体" w:eastAsia="宋体"/>
                <w:sz w:val="28"/>
                <w:szCs w:val="28"/>
              </w:rPr>
              <w:t>注：公司严格遵守信息披露法律法规与投资者交流，如涉及公司战略规划等意向性目标，不视为公司或管理层对公司业绩的保证或承诺，敬请广大投资者注意投资风险。</w:t>
            </w:r>
          </w:p>
        </w:tc>
      </w:tr>
    </w:tbl>
    <w:p w14:paraId="28810BA7">
      <w:pPr>
        <w:spacing w:line="20" w:lineRule="exact"/>
        <w:rPr>
          <w:rFonts w:ascii="宋体" w:hAnsi="宋体" w:eastAsia="宋体"/>
          <w:sz w:val="24"/>
        </w:rPr>
      </w:pPr>
    </w:p>
    <w:sectPr>
      <w:headerReference r:id="rId5" w:type="default"/>
      <w:footerReference r:id="rId6" w:type="default"/>
      <w:pgSz w:w="11906" w:h="16838"/>
      <w:pgMar w:top="1440" w:right="1800" w:bottom="1440" w:left="1800" w:header="680"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574822"/>
    </w:sdtPr>
    <w:sdtEndPr>
      <w:rPr>
        <w:rFonts w:ascii="宋体" w:hAnsi="宋体" w:eastAsia="宋体"/>
        <w:sz w:val="28"/>
        <w:szCs w:val="28"/>
      </w:rPr>
    </w:sdtEndPr>
    <w:sdtContent>
      <w:p w14:paraId="0FABC26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9621">
    <w:pPr>
      <w:rPr>
        <w:rFonts w:ascii="宋体" w:hAnsi="宋体" w:eastAsia="宋体"/>
        <w:sz w:val="21"/>
        <w:szCs w:val="21"/>
        <w:u w:val="single"/>
      </w:rPr>
    </w:pPr>
    <w:r>
      <w:rPr>
        <w:rFonts w:hint="eastAsia" w:ascii="宋体" w:hAnsi="宋体" w:eastAsia="宋体"/>
        <w:sz w:val="21"/>
        <w:szCs w:val="21"/>
        <w:u w:val="single"/>
      </w:rPr>
      <w:t>证券代码：6</w:t>
    </w:r>
    <w:r>
      <w:rPr>
        <w:rFonts w:ascii="宋体" w:hAnsi="宋体" w:eastAsia="宋体"/>
        <w:sz w:val="21"/>
        <w:szCs w:val="21"/>
        <w:u w:val="single"/>
      </w:rPr>
      <w:t xml:space="preserve">00111                                             </w:t>
    </w:r>
    <w:r>
      <w:rPr>
        <w:rFonts w:hint="eastAsia" w:ascii="宋体" w:hAnsi="宋体" w:eastAsia="宋体"/>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12B6"/>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AA2"/>
    <w:rsid w:val="00023713"/>
    <w:rsid w:val="00025480"/>
    <w:rsid w:val="0003014A"/>
    <w:rsid w:val="0003024C"/>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1C3A"/>
    <w:rsid w:val="0005230D"/>
    <w:rsid w:val="0005319A"/>
    <w:rsid w:val="00053D25"/>
    <w:rsid w:val="00056687"/>
    <w:rsid w:val="00057226"/>
    <w:rsid w:val="00060C58"/>
    <w:rsid w:val="0006189F"/>
    <w:rsid w:val="000625FA"/>
    <w:rsid w:val="00063B3A"/>
    <w:rsid w:val="00063F99"/>
    <w:rsid w:val="0006422C"/>
    <w:rsid w:val="000654ED"/>
    <w:rsid w:val="0006589F"/>
    <w:rsid w:val="00065D99"/>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2E6"/>
    <w:rsid w:val="000A73E5"/>
    <w:rsid w:val="000B0092"/>
    <w:rsid w:val="000B2BB0"/>
    <w:rsid w:val="000B33AD"/>
    <w:rsid w:val="000B6151"/>
    <w:rsid w:val="000B7040"/>
    <w:rsid w:val="000C5F6A"/>
    <w:rsid w:val="000C6531"/>
    <w:rsid w:val="000E1D6C"/>
    <w:rsid w:val="000E2E94"/>
    <w:rsid w:val="000E32B8"/>
    <w:rsid w:val="000E3EA5"/>
    <w:rsid w:val="000E44B4"/>
    <w:rsid w:val="000E484B"/>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5B8E"/>
    <w:rsid w:val="00116915"/>
    <w:rsid w:val="0012052A"/>
    <w:rsid w:val="00121EED"/>
    <w:rsid w:val="00122FF4"/>
    <w:rsid w:val="00123B39"/>
    <w:rsid w:val="00126B7D"/>
    <w:rsid w:val="00126E88"/>
    <w:rsid w:val="00127B11"/>
    <w:rsid w:val="001313BB"/>
    <w:rsid w:val="0013160A"/>
    <w:rsid w:val="00132466"/>
    <w:rsid w:val="001338C4"/>
    <w:rsid w:val="001341B6"/>
    <w:rsid w:val="00136028"/>
    <w:rsid w:val="00136CC0"/>
    <w:rsid w:val="00137652"/>
    <w:rsid w:val="00141204"/>
    <w:rsid w:val="001427C6"/>
    <w:rsid w:val="00144222"/>
    <w:rsid w:val="0014515E"/>
    <w:rsid w:val="00146F4C"/>
    <w:rsid w:val="001504BF"/>
    <w:rsid w:val="00150E48"/>
    <w:rsid w:val="00151C65"/>
    <w:rsid w:val="00152480"/>
    <w:rsid w:val="00156292"/>
    <w:rsid w:val="00156419"/>
    <w:rsid w:val="00157890"/>
    <w:rsid w:val="00163B5B"/>
    <w:rsid w:val="00166472"/>
    <w:rsid w:val="001673A3"/>
    <w:rsid w:val="00170FDB"/>
    <w:rsid w:val="00171EED"/>
    <w:rsid w:val="00172DD9"/>
    <w:rsid w:val="00175D2A"/>
    <w:rsid w:val="00176285"/>
    <w:rsid w:val="00176D09"/>
    <w:rsid w:val="00177434"/>
    <w:rsid w:val="00177558"/>
    <w:rsid w:val="00182443"/>
    <w:rsid w:val="001825B5"/>
    <w:rsid w:val="001825F5"/>
    <w:rsid w:val="00183363"/>
    <w:rsid w:val="00183849"/>
    <w:rsid w:val="00183A63"/>
    <w:rsid w:val="001840C5"/>
    <w:rsid w:val="00185687"/>
    <w:rsid w:val="001863DF"/>
    <w:rsid w:val="00186C01"/>
    <w:rsid w:val="00187C3E"/>
    <w:rsid w:val="001906AE"/>
    <w:rsid w:val="001908FC"/>
    <w:rsid w:val="001953A0"/>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414"/>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625A"/>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0F3"/>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56E5C"/>
    <w:rsid w:val="0025774B"/>
    <w:rsid w:val="0026002A"/>
    <w:rsid w:val="00260421"/>
    <w:rsid w:val="00260CA3"/>
    <w:rsid w:val="002610C3"/>
    <w:rsid w:val="00262DE7"/>
    <w:rsid w:val="00262FC4"/>
    <w:rsid w:val="0026320B"/>
    <w:rsid w:val="0026334F"/>
    <w:rsid w:val="00264CEC"/>
    <w:rsid w:val="00265505"/>
    <w:rsid w:val="00265530"/>
    <w:rsid w:val="00266A82"/>
    <w:rsid w:val="0027010C"/>
    <w:rsid w:val="002709B5"/>
    <w:rsid w:val="00270CEA"/>
    <w:rsid w:val="0027101E"/>
    <w:rsid w:val="00271400"/>
    <w:rsid w:val="00271649"/>
    <w:rsid w:val="002731CE"/>
    <w:rsid w:val="00277333"/>
    <w:rsid w:val="00280173"/>
    <w:rsid w:val="00280B28"/>
    <w:rsid w:val="00281DF7"/>
    <w:rsid w:val="00282AFC"/>
    <w:rsid w:val="002835C4"/>
    <w:rsid w:val="00286F9C"/>
    <w:rsid w:val="00286FFD"/>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D7380"/>
    <w:rsid w:val="002E3064"/>
    <w:rsid w:val="002E7BB2"/>
    <w:rsid w:val="002E7FAC"/>
    <w:rsid w:val="002F1F9D"/>
    <w:rsid w:val="002F1FB1"/>
    <w:rsid w:val="002F30C4"/>
    <w:rsid w:val="002F3F48"/>
    <w:rsid w:val="002F52D9"/>
    <w:rsid w:val="0030214B"/>
    <w:rsid w:val="00302674"/>
    <w:rsid w:val="00304076"/>
    <w:rsid w:val="00304270"/>
    <w:rsid w:val="0031597B"/>
    <w:rsid w:val="00316F4B"/>
    <w:rsid w:val="003177F7"/>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46A23"/>
    <w:rsid w:val="00350231"/>
    <w:rsid w:val="00352A6C"/>
    <w:rsid w:val="003551FF"/>
    <w:rsid w:val="003559AB"/>
    <w:rsid w:val="00356956"/>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0ACC"/>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D7777"/>
    <w:rsid w:val="003E3BA4"/>
    <w:rsid w:val="003E5B76"/>
    <w:rsid w:val="003E6B6D"/>
    <w:rsid w:val="003E71C5"/>
    <w:rsid w:val="003F1A6B"/>
    <w:rsid w:val="003F3F1B"/>
    <w:rsid w:val="003F50B0"/>
    <w:rsid w:val="003F6B3F"/>
    <w:rsid w:val="0040138C"/>
    <w:rsid w:val="004028CD"/>
    <w:rsid w:val="004028F9"/>
    <w:rsid w:val="0040328C"/>
    <w:rsid w:val="00404B14"/>
    <w:rsid w:val="00404D03"/>
    <w:rsid w:val="0040741E"/>
    <w:rsid w:val="0041180C"/>
    <w:rsid w:val="00411F6C"/>
    <w:rsid w:val="00411FC5"/>
    <w:rsid w:val="00412AF1"/>
    <w:rsid w:val="00415B67"/>
    <w:rsid w:val="004210AC"/>
    <w:rsid w:val="004224F3"/>
    <w:rsid w:val="00422A2F"/>
    <w:rsid w:val="00423223"/>
    <w:rsid w:val="0042526B"/>
    <w:rsid w:val="00426A9D"/>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5473"/>
    <w:rsid w:val="00467004"/>
    <w:rsid w:val="004733E6"/>
    <w:rsid w:val="00476690"/>
    <w:rsid w:val="00476EC5"/>
    <w:rsid w:val="004808F4"/>
    <w:rsid w:val="00481A0C"/>
    <w:rsid w:val="00482245"/>
    <w:rsid w:val="004843A1"/>
    <w:rsid w:val="0048683F"/>
    <w:rsid w:val="0048689C"/>
    <w:rsid w:val="00487ECC"/>
    <w:rsid w:val="00491B4D"/>
    <w:rsid w:val="00491DEC"/>
    <w:rsid w:val="00492ED8"/>
    <w:rsid w:val="00494908"/>
    <w:rsid w:val="00494A7B"/>
    <w:rsid w:val="004960CB"/>
    <w:rsid w:val="004972B1"/>
    <w:rsid w:val="004A1D7D"/>
    <w:rsid w:val="004A3636"/>
    <w:rsid w:val="004A56EA"/>
    <w:rsid w:val="004B184C"/>
    <w:rsid w:val="004B35E3"/>
    <w:rsid w:val="004B7768"/>
    <w:rsid w:val="004B7E61"/>
    <w:rsid w:val="004C0947"/>
    <w:rsid w:val="004C1B58"/>
    <w:rsid w:val="004C1F80"/>
    <w:rsid w:val="004C3192"/>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52DD"/>
    <w:rsid w:val="00576A66"/>
    <w:rsid w:val="00580026"/>
    <w:rsid w:val="005803B1"/>
    <w:rsid w:val="005808CB"/>
    <w:rsid w:val="0058626D"/>
    <w:rsid w:val="00586481"/>
    <w:rsid w:val="00590B96"/>
    <w:rsid w:val="00590EFD"/>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E0B"/>
    <w:rsid w:val="005F03B2"/>
    <w:rsid w:val="005F180D"/>
    <w:rsid w:val="005F1F0A"/>
    <w:rsid w:val="005F21E1"/>
    <w:rsid w:val="00600C8B"/>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5B1"/>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116"/>
    <w:rsid w:val="006947FA"/>
    <w:rsid w:val="00695BF6"/>
    <w:rsid w:val="006A047A"/>
    <w:rsid w:val="006A0497"/>
    <w:rsid w:val="006A0742"/>
    <w:rsid w:val="006A0FFF"/>
    <w:rsid w:val="006A5DC6"/>
    <w:rsid w:val="006A6D01"/>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6C29"/>
    <w:rsid w:val="006C74EC"/>
    <w:rsid w:val="006D1383"/>
    <w:rsid w:val="006D1A15"/>
    <w:rsid w:val="006D24C1"/>
    <w:rsid w:val="006D2FE0"/>
    <w:rsid w:val="006D673F"/>
    <w:rsid w:val="006D6B24"/>
    <w:rsid w:val="006E19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5C21"/>
    <w:rsid w:val="00726D70"/>
    <w:rsid w:val="00731D5B"/>
    <w:rsid w:val="007343D8"/>
    <w:rsid w:val="00737ABF"/>
    <w:rsid w:val="00737D1F"/>
    <w:rsid w:val="00740B97"/>
    <w:rsid w:val="00740CEB"/>
    <w:rsid w:val="00741825"/>
    <w:rsid w:val="0074248B"/>
    <w:rsid w:val="00742F18"/>
    <w:rsid w:val="007438D2"/>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0CCF"/>
    <w:rsid w:val="007818D7"/>
    <w:rsid w:val="00781B73"/>
    <w:rsid w:val="00782F5A"/>
    <w:rsid w:val="00783BDB"/>
    <w:rsid w:val="007840A8"/>
    <w:rsid w:val="00785CF7"/>
    <w:rsid w:val="007869C7"/>
    <w:rsid w:val="00787801"/>
    <w:rsid w:val="00787830"/>
    <w:rsid w:val="00787C29"/>
    <w:rsid w:val="00792814"/>
    <w:rsid w:val="007947E3"/>
    <w:rsid w:val="00797FB2"/>
    <w:rsid w:val="007A00B3"/>
    <w:rsid w:val="007A1028"/>
    <w:rsid w:val="007A3194"/>
    <w:rsid w:val="007A31C0"/>
    <w:rsid w:val="007A4819"/>
    <w:rsid w:val="007A6E45"/>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3529"/>
    <w:rsid w:val="008755B0"/>
    <w:rsid w:val="008759E3"/>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763"/>
    <w:rsid w:val="008A499D"/>
    <w:rsid w:val="008A6C35"/>
    <w:rsid w:val="008A6CF7"/>
    <w:rsid w:val="008B06F3"/>
    <w:rsid w:val="008B42A6"/>
    <w:rsid w:val="008B5054"/>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21C9"/>
    <w:rsid w:val="008E2E2E"/>
    <w:rsid w:val="008E38FB"/>
    <w:rsid w:val="008E3D5D"/>
    <w:rsid w:val="008E5017"/>
    <w:rsid w:val="008E56F4"/>
    <w:rsid w:val="008E7F23"/>
    <w:rsid w:val="008F0DB5"/>
    <w:rsid w:val="008F1B5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39A2"/>
    <w:rsid w:val="00937B05"/>
    <w:rsid w:val="00940DB2"/>
    <w:rsid w:val="00943F7E"/>
    <w:rsid w:val="009451FF"/>
    <w:rsid w:val="00946025"/>
    <w:rsid w:val="00952FA1"/>
    <w:rsid w:val="00953518"/>
    <w:rsid w:val="00954561"/>
    <w:rsid w:val="00954A36"/>
    <w:rsid w:val="009579DE"/>
    <w:rsid w:val="009620B3"/>
    <w:rsid w:val="009649CE"/>
    <w:rsid w:val="00971751"/>
    <w:rsid w:val="00971B49"/>
    <w:rsid w:val="00973744"/>
    <w:rsid w:val="0097442C"/>
    <w:rsid w:val="009745D8"/>
    <w:rsid w:val="00974A33"/>
    <w:rsid w:val="0097579E"/>
    <w:rsid w:val="00976196"/>
    <w:rsid w:val="009766EF"/>
    <w:rsid w:val="0098185A"/>
    <w:rsid w:val="0098232A"/>
    <w:rsid w:val="009834F6"/>
    <w:rsid w:val="00983890"/>
    <w:rsid w:val="009843C4"/>
    <w:rsid w:val="00993092"/>
    <w:rsid w:val="00994603"/>
    <w:rsid w:val="009A16FB"/>
    <w:rsid w:val="009A1AD6"/>
    <w:rsid w:val="009A298E"/>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3ADF"/>
    <w:rsid w:val="009E5541"/>
    <w:rsid w:val="009E58C6"/>
    <w:rsid w:val="009F2A0F"/>
    <w:rsid w:val="009F567B"/>
    <w:rsid w:val="009F7CC2"/>
    <w:rsid w:val="00A01317"/>
    <w:rsid w:val="00A03245"/>
    <w:rsid w:val="00A10248"/>
    <w:rsid w:val="00A10818"/>
    <w:rsid w:val="00A10A8D"/>
    <w:rsid w:val="00A11CAA"/>
    <w:rsid w:val="00A12CC8"/>
    <w:rsid w:val="00A13155"/>
    <w:rsid w:val="00A14E8A"/>
    <w:rsid w:val="00A157C8"/>
    <w:rsid w:val="00A21673"/>
    <w:rsid w:val="00A231A1"/>
    <w:rsid w:val="00A231B3"/>
    <w:rsid w:val="00A237CF"/>
    <w:rsid w:val="00A259FC"/>
    <w:rsid w:val="00A265BC"/>
    <w:rsid w:val="00A27AF6"/>
    <w:rsid w:val="00A30B2F"/>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1"/>
    <w:rsid w:val="00A65745"/>
    <w:rsid w:val="00A70487"/>
    <w:rsid w:val="00A729A4"/>
    <w:rsid w:val="00A741C5"/>
    <w:rsid w:val="00A77275"/>
    <w:rsid w:val="00A77EB8"/>
    <w:rsid w:val="00A803E7"/>
    <w:rsid w:val="00A81240"/>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0F4B"/>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51F"/>
    <w:rsid w:val="00AD0FF4"/>
    <w:rsid w:val="00AD3682"/>
    <w:rsid w:val="00AD38CD"/>
    <w:rsid w:val="00AE0BED"/>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304A4"/>
    <w:rsid w:val="00B354FC"/>
    <w:rsid w:val="00B35D46"/>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9F9"/>
    <w:rsid w:val="00B76EB9"/>
    <w:rsid w:val="00B77FD0"/>
    <w:rsid w:val="00B80532"/>
    <w:rsid w:val="00B82618"/>
    <w:rsid w:val="00B82837"/>
    <w:rsid w:val="00B8342A"/>
    <w:rsid w:val="00B83EC5"/>
    <w:rsid w:val="00B85E64"/>
    <w:rsid w:val="00B86C55"/>
    <w:rsid w:val="00B874FC"/>
    <w:rsid w:val="00B91242"/>
    <w:rsid w:val="00B91BAD"/>
    <w:rsid w:val="00B932B3"/>
    <w:rsid w:val="00B9430E"/>
    <w:rsid w:val="00B95B30"/>
    <w:rsid w:val="00B97082"/>
    <w:rsid w:val="00B977D7"/>
    <w:rsid w:val="00B97B63"/>
    <w:rsid w:val="00BA07EA"/>
    <w:rsid w:val="00BA2DE5"/>
    <w:rsid w:val="00BA4A9B"/>
    <w:rsid w:val="00BA7C13"/>
    <w:rsid w:val="00BB0763"/>
    <w:rsid w:val="00BB1239"/>
    <w:rsid w:val="00BB1AE6"/>
    <w:rsid w:val="00BB3532"/>
    <w:rsid w:val="00BB3832"/>
    <w:rsid w:val="00BB42DF"/>
    <w:rsid w:val="00BB45DA"/>
    <w:rsid w:val="00BB66DA"/>
    <w:rsid w:val="00BC0701"/>
    <w:rsid w:val="00BC21FC"/>
    <w:rsid w:val="00BC2673"/>
    <w:rsid w:val="00BC3574"/>
    <w:rsid w:val="00BD041E"/>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5B5B"/>
    <w:rsid w:val="00BF6A9D"/>
    <w:rsid w:val="00BF7367"/>
    <w:rsid w:val="00C009C3"/>
    <w:rsid w:val="00C00C28"/>
    <w:rsid w:val="00C01C82"/>
    <w:rsid w:val="00C02E51"/>
    <w:rsid w:val="00C02E94"/>
    <w:rsid w:val="00C10CFA"/>
    <w:rsid w:val="00C15895"/>
    <w:rsid w:val="00C17C63"/>
    <w:rsid w:val="00C20096"/>
    <w:rsid w:val="00C203D9"/>
    <w:rsid w:val="00C207D4"/>
    <w:rsid w:val="00C24104"/>
    <w:rsid w:val="00C25A82"/>
    <w:rsid w:val="00C26B9E"/>
    <w:rsid w:val="00C26F43"/>
    <w:rsid w:val="00C31459"/>
    <w:rsid w:val="00C314FC"/>
    <w:rsid w:val="00C328F4"/>
    <w:rsid w:val="00C32ECE"/>
    <w:rsid w:val="00C33B64"/>
    <w:rsid w:val="00C360D6"/>
    <w:rsid w:val="00C369BC"/>
    <w:rsid w:val="00C373F9"/>
    <w:rsid w:val="00C37929"/>
    <w:rsid w:val="00C40E85"/>
    <w:rsid w:val="00C42813"/>
    <w:rsid w:val="00C441BB"/>
    <w:rsid w:val="00C44906"/>
    <w:rsid w:val="00C45521"/>
    <w:rsid w:val="00C4682F"/>
    <w:rsid w:val="00C50DBE"/>
    <w:rsid w:val="00C520CE"/>
    <w:rsid w:val="00C52CC4"/>
    <w:rsid w:val="00C53407"/>
    <w:rsid w:val="00C53B86"/>
    <w:rsid w:val="00C53CF2"/>
    <w:rsid w:val="00C54EC1"/>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2A9D"/>
    <w:rsid w:val="00CF3FBF"/>
    <w:rsid w:val="00CF5762"/>
    <w:rsid w:val="00CF5FA7"/>
    <w:rsid w:val="00CF68B8"/>
    <w:rsid w:val="00D02AC3"/>
    <w:rsid w:val="00D03A51"/>
    <w:rsid w:val="00D03C6E"/>
    <w:rsid w:val="00D05102"/>
    <w:rsid w:val="00D055BB"/>
    <w:rsid w:val="00D05E27"/>
    <w:rsid w:val="00D10558"/>
    <w:rsid w:val="00D1116A"/>
    <w:rsid w:val="00D116F5"/>
    <w:rsid w:val="00D1181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0BC7"/>
    <w:rsid w:val="00D43972"/>
    <w:rsid w:val="00D43993"/>
    <w:rsid w:val="00D441F6"/>
    <w:rsid w:val="00D44317"/>
    <w:rsid w:val="00D443E0"/>
    <w:rsid w:val="00D45C57"/>
    <w:rsid w:val="00D45FD1"/>
    <w:rsid w:val="00D477D5"/>
    <w:rsid w:val="00D4795A"/>
    <w:rsid w:val="00D47CD9"/>
    <w:rsid w:val="00D47D03"/>
    <w:rsid w:val="00D509A8"/>
    <w:rsid w:val="00D517E1"/>
    <w:rsid w:val="00D51FA2"/>
    <w:rsid w:val="00D528A9"/>
    <w:rsid w:val="00D542C5"/>
    <w:rsid w:val="00D605A8"/>
    <w:rsid w:val="00D617FD"/>
    <w:rsid w:val="00D6187D"/>
    <w:rsid w:val="00D62719"/>
    <w:rsid w:val="00D6289B"/>
    <w:rsid w:val="00D62D38"/>
    <w:rsid w:val="00D63D2F"/>
    <w:rsid w:val="00D64B8E"/>
    <w:rsid w:val="00D70CA3"/>
    <w:rsid w:val="00D73C69"/>
    <w:rsid w:val="00D73CC1"/>
    <w:rsid w:val="00D743EB"/>
    <w:rsid w:val="00D751EA"/>
    <w:rsid w:val="00D756A6"/>
    <w:rsid w:val="00D763E2"/>
    <w:rsid w:val="00D771EB"/>
    <w:rsid w:val="00D80235"/>
    <w:rsid w:val="00D80A75"/>
    <w:rsid w:val="00D80C5D"/>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36C4"/>
    <w:rsid w:val="00DE472C"/>
    <w:rsid w:val="00DE65CA"/>
    <w:rsid w:val="00DE6868"/>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07D6E"/>
    <w:rsid w:val="00E102B2"/>
    <w:rsid w:val="00E1062D"/>
    <w:rsid w:val="00E11A82"/>
    <w:rsid w:val="00E12EF1"/>
    <w:rsid w:val="00E14E6A"/>
    <w:rsid w:val="00E17471"/>
    <w:rsid w:val="00E22053"/>
    <w:rsid w:val="00E2207B"/>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0C7F"/>
    <w:rsid w:val="00E50E2A"/>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28A5"/>
    <w:rsid w:val="00EA66FC"/>
    <w:rsid w:val="00EB1A30"/>
    <w:rsid w:val="00EB2DBD"/>
    <w:rsid w:val="00EB5724"/>
    <w:rsid w:val="00EB673C"/>
    <w:rsid w:val="00EB7E3D"/>
    <w:rsid w:val="00EC00B4"/>
    <w:rsid w:val="00EC0493"/>
    <w:rsid w:val="00EC0E6D"/>
    <w:rsid w:val="00EC1894"/>
    <w:rsid w:val="00EC3579"/>
    <w:rsid w:val="00EC5712"/>
    <w:rsid w:val="00EC7E39"/>
    <w:rsid w:val="00ED01C4"/>
    <w:rsid w:val="00ED1F61"/>
    <w:rsid w:val="00ED2059"/>
    <w:rsid w:val="00ED2960"/>
    <w:rsid w:val="00ED3B9C"/>
    <w:rsid w:val="00ED4774"/>
    <w:rsid w:val="00ED4C0C"/>
    <w:rsid w:val="00ED615F"/>
    <w:rsid w:val="00ED711B"/>
    <w:rsid w:val="00EE02B4"/>
    <w:rsid w:val="00EE17FD"/>
    <w:rsid w:val="00EE2710"/>
    <w:rsid w:val="00EE2FBF"/>
    <w:rsid w:val="00EE351B"/>
    <w:rsid w:val="00EE3C29"/>
    <w:rsid w:val="00EE52D6"/>
    <w:rsid w:val="00EE584F"/>
    <w:rsid w:val="00EE5DBD"/>
    <w:rsid w:val="00EE712A"/>
    <w:rsid w:val="00EE7287"/>
    <w:rsid w:val="00EE7F8C"/>
    <w:rsid w:val="00EF00A7"/>
    <w:rsid w:val="00EF128E"/>
    <w:rsid w:val="00EF1E63"/>
    <w:rsid w:val="00EF3A90"/>
    <w:rsid w:val="00EF5D0B"/>
    <w:rsid w:val="00EF7BC3"/>
    <w:rsid w:val="00EF7BC6"/>
    <w:rsid w:val="00F00260"/>
    <w:rsid w:val="00F02268"/>
    <w:rsid w:val="00F03EEB"/>
    <w:rsid w:val="00F0468B"/>
    <w:rsid w:val="00F05D7F"/>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51F8"/>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3500"/>
    <w:rsid w:val="00F76062"/>
    <w:rsid w:val="00F767AC"/>
    <w:rsid w:val="00F767E5"/>
    <w:rsid w:val="00F768DA"/>
    <w:rsid w:val="00F77F8A"/>
    <w:rsid w:val="00F802E5"/>
    <w:rsid w:val="00F80D6B"/>
    <w:rsid w:val="00F813A9"/>
    <w:rsid w:val="00F82564"/>
    <w:rsid w:val="00F856B5"/>
    <w:rsid w:val="00F85AFF"/>
    <w:rsid w:val="00F8657A"/>
    <w:rsid w:val="00F8728A"/>
    <w:rsid w:val="00F91989"/>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757"/>
    <w:rsid w:val="00FF1C4A"/>
    <w:rsid w:val="00FF1DBE"/>
    <w:rsid w:val="00FF50C1"/>
    <w:rsid w:val="00FF6CA0"/>
    <w:rsid w:val="00FF759B"/>
    <w:rsid w:val="00FF7CCE"/>
    <w:rsid w:val="09725A7D"/>
    <w:rsid w:val="0FE344E6"/>
    <w:rsid w:val="1485205E"/>
    <w:rsid w:val="15A119FD"/>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仿宋_GB2312" w:cs="Times New Roman"/>
      <w:sz w:val="18"/>
      <w:szCs w:val="18"/>
    </w:rPr>
  </w:style>
  <w:style w:type="character" w:customStyle="1" w:styleId="13">
    <w:name w:val="页脚 Char"/>
    <w:basedOn w:val="9"/>
    <w:link w:val="4"/>
    <w:qFormat/>
    <w:uiPriority w:val="99"/>
    <w:rPr>
      <w:rFonts w:ascii="Times New Roman" w:hAnsi="Times New Roman" w:eastAsia="仿宋_GB2312" w:cs="Times New Roman"/>
      <w:sz w:val="18"/>
      <w:szCs w:val="18"/>
    </w:rPr>
  </w:style>
  <w:style w:type="character" w:customStyle="1" w:styleId="14">
    <w:name w:val="批注框文本 Char"/>
    <w:basedOn w:val="9"/>
    <w:link w:val="3"/>
    <w:semiHidden/>
    <w:qFormat/>
    <w:uiPriority w:val="99"/>
    <w:rPr>
      <w:rFonts w:ascii="Times New Roman" w:hAnsi="Times New Roman" w:eastAsia="仿宋_GB2312" w:cs="Times New Roman"/>
      <w:sz w:val="18"/>
      <w:szCs w:val="18"/>
    </w:rPr>
  </w:style>
  <w:style w:type="character" w:customStyle="1" w:styleId="15">
    <w:name w:val="dt-editor__word"/>
    <w:basedOn w:val="9"/>
    <w:qFormat/>
    <w:uiPriority w:val="0"/>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批注文字 Char"/>
    <w:basedOn w:val="9"/>
    <w:link w:val="2"/>
    <w:semiHidden/>
    <w:qFormat/>
    <w:uiPriority w:val="99"/>
    <w:rPr>
      <w:rFonts w:ascii="Times New Roman" w:hAnsi="Times New Roman" w:eastAsia="仿宋_GB2312" w:cs="Times New Roman"/>
      <w:kern w:val="2"/>
      <w:sz w:val="32"/>
      <w:szCs w:val="24"/>
    </w:rPr>
  </w:style>
  <w:style w:type="character" w:customStyle="1" w:styleId="18">
    <w:name w:val="批注主题 Char"/>
    <w:basedOn w:val="17"/>
    <w:link w:val="6"/>
    <w:semiHidden/>
    <w:qFormat/>
    <w:uiPriority w:val="99"/>
    <w:rPr>
      <w:rFonts w:ascii="Times New Roman" w:hAnsi="Times New Roman" w:eastAsia="仿宋_GB2312" w:cs="Times New Roman"/>
      <w:b/>
      <w:bCs/>
      <w:kern w:val="2"/>
      <w:sz w:val="32"/>
      <w:szCs w:val="24"/>
    </w:rPr>
  </w:style>
  <w:style w:type="paragraph" w:styleId="19">
    <w:name w:val="List Paragraph"/>
    <w:basedOn w:val="1"/>
    <w:link w:val="20"/>
    <w:qFormat/>
    <w:uiPriority w:val="34"/>
    <w:pPr>
      <w:spacing w:line="240" w:lineRule="auto"/>
      <w:ind w:firstLine="420" w:firstLineChars="200"/>
    </w:pPr>
    <w:rPr>
      <w:rFonts w:eastAsia="宋体"/>
      <w:sz w:val="21"/>
      <w:szCs w:val="21"/>
    </w:rPr>
  </w:style>
  <w:style w:type="character" w:customStyle="1" w:styleId="20">
    <w:name w:val="列出段落 Char"/>
    <w:link w:val="19"/>
    <w:qFormat/>
    <w:locked/>
    <w:uiPriority w:val="34"/>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6150</Words>
  <Characters>6332</Characters>
  <Lines>45</Lines>
  <Paragraphs>12</Paragraphs>
  <TotalTime>1259</TotalTime>
  <ScaleCrop>false</ScaleCrop>
  <LinksUpToDate>false</LinksUpToDate>
  <CharactersWithSpaces>6366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2025-09-05T06:07:00Z</dcterms:created>
  <dc:creator>郭 剑</dc:creator>
  <cp:lastModifiedBy>Rebe</cp:lastModifiedBy>
  <cp:lastPrinted>2026-05-09T03:28:00Z</cp:lastPrinted>
  <dcterms:modified xsi:type="dcterms:W3CDTF">2026-05-20T01:57:28Z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