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2E120">
      <w:pPr>
        <w:snapToGrid w:val="0"/>
        <w:spacing w:line="360" w:lineRule="auto"/>
        <w:rPr>
          <w:rFonts w:eastAsiaTheme="minorEastAsia"/>
          <w:b/>
          <w:iCs/>
          <w:color w:val="000000"/>
          <w:sz w:val="24"/>
          <w:szCs w:val="24"/>
        </w:rPr>
      </w:pPr>
      <w:r>
        <w:rPr>
          <w:rFonts w:eastAsiaTheme="minorEastAsia"/>
          <w:b/>
          <w:iCs/>
          <w:color w:val="000000"/>
          <w:sz w:val="24"/>
          <w:szCs w:val="24"/>
        </w:rPr>
        <w:t>证券代码：605086                                  证券简称：龙高股份</w:t>
      </w:r>
    </w:p>
    <w:p w14:paraId="268351C2">
      <w:pPr>
        <w:snapToGrid w:val="0"/>
        <w:spacing w:before="156" w:beforeLines="50" w:after="156" w:afterLines="50" w:line="360" w:lineRule="auto"/>
        <w:jc w:val="center"/>
        <w:rPr>
          <w:rFonts w:eastAsia="黑体"/>
          <w:b/>
          <w:bCs/>
          <w:iCs/>
          <w:color w:val="000000"/>
          <w:sz w:val="32"/>
          <w:szCs w:val="32"/>
        </w:rPr>
      </w:pPr>
      <w:r>
        <w:rPr>
          <w:rFonts w:eastAsia="黑体"/>
          <w:b/>
          <w:bCs/>
          <w:iCs/>
          <w:color w:val="000000"/>
          <w:sz w:val="32"/>
          <w:szCs w:val="32"/>
        </w:rPr>
        <w:t>龙岩高岭土股份有限公司投资者关系活动记录表</w:t>
      </w:r>
    </w:p>
    <w:p w14:paraId="16E43DBF">
      <w:pPr>
        <w:spacing w:line="360" w:lineRule="auto"/>
        <w:rPr>
          <w:rFonts w:hint="default" w:eastAsia="仿宋"/>
          <w:bCs/>
          <w:iCs/>
          <w:color w:val="000000"/>
          <w:sz w:val="24"/>
          <w:szCs w:val="24"/>
          <w:lang w:val="en-US" w:eastAsia="zh-CN"/>
        </w:rPr>
      </w:pPr>
      <w:r>
        <w:rPr>
          <w:rFonts w:eastAsia="仿宋"/>
          <w:bCs/>
          <w:iCs/>
          <w:color w:val="000000"/>
          <w:sz w:val="28"/>
          <w:szCs w:val="28"/>
        </w:rPr>
        <w:t xml:space="preserve">                                                </w:t>
      </w:r>
      <w:r>
        <w:rPr>
          <w:rFonts w:asciiTheme="minorEastAsia" w:hAnsiTheme="minorEastAsia" w:eastAsiaTheme="minorEastAsia"/>
          <w:bCs/>
          <w:iCs/>
          <w:color w:val="000000"/>
          <w:sz w:val="24"/>
          <w:szCs w:val="24"/>
        </w:rPr>
        <w:t>编号：</w:t>
      </w:r>
      <w:r>
        <w:rPr>
          <w:rFonts w:eastAsia="仿宋"/>
          <w:bCs/>
          <w:iCs/>
          <w:color w:val="000000"/>
          <w:sz w:val="24"/>
          <w:szCs w:val="24"/>
        </w:rPr>
        <w:t>20</w:t>
      </w:r>
      <w:r>
        <w:rPr>
          <w:rFonts w:hint="eastAsia" w:eastAsia="仿宋"/>
          <w:bCs/>
          <w:iCs/>
          <w:color w:val="000000"/>
          <w:sz w:val="24"/>
          <w:szCs w:val="24"/>
        </w:rPr>
        <w:t>2</w:t>
      </w:r>
      <w:r>
        <w:rPr>
          <w:rFonts w:hint="eastAsia" w:eastAsia="仿宋"/>
          <w:bCs/>
          <w:iCs/>
          <w:color w:val="000000"/>
          <w:sz w:val="24"/>
          <w:szCs w:val="24"/>
          <w:lang w:val="en-US" w:eastAsia="zh-CN"/>
        </w:rPr>
        <w:t>6-03</w:t>
      </w: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79"/>
      </w:tblGrid>
      <w:tr w14:paraId="55A4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184642B6">
            <w:pPr>
              <w:spacing w:line="360" w:lineRule="auto"/>
              <w:jc w:val="center"/>
              <w:rPr>
                <w:bCs/>
                <w:iCs/>
                <w:color w:val="000000"/>
                <w:sz w:val="24"/>
                <w:szCs w:val="24"/>
              </w:rPr>
            </w:pPr>
            <w:r>
              <w:rPr>
                <w:bCs/>
                <w:iCs/>
                <w:color w:val="000000"/>
                <w:sz w:val="24"/>
                <w:szCs w:val="24"/>
              </w:rPr>
              <w:t>投资者关系活动类别</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7367F36B">
            <w:pPr>
              <w:spacing w:line="360" w:lineRule="auto"/>
              <w:rPr>
                <w:rFonts w:ascii="宋体" w:hAnsi="宋体"/>
                <w:bCs/>
                <w:iCs/>
                <w:color w:val="000000"/>
                <w:sz w:val="24"/>
                <w:szCs w:val="24"/>
              </w:rPr>
            </w:pPr>
            <w:r>
              <w:rPr>
                <w:rFonts w:ascii="宋体" w:hAnsi="宋体"/>
                <w:bCs/>
                <w:iCs/>
                <w:color w:val="000000"/>
                <w:sz w:val="24"/>
                <w:szCs w:val="24"/>
              </w:rPr>
              <w:t>□</w:t>
            </w:r>
            <w:r>
              <w:rPr>
                <w:rFonts w:ascii="宋体" w:hAnsi="宋体"/>
                <w:color w:val="000000"/>
                <w:sz w:val="24"/>
                <w:szCs w:val="24"/>
              </w:rPr>
              <w:t xml:space="preserve">特定对象调研      </w:t>
            </w:r>
            <w:r>
              <w:rPr>
                <w:rFonts w:ascii="宋体" w:hAnsi="宋体"/>
                <w:bCs/>
                <w:iCs/>
                <w:color w:val="000000"/>
                <w:sz w:val="24"/>
                <w:szCs w:val="24"/>
              </w:rPr>
              <w:t>□</w:t>
            </w:r>
            <w:r>
              <w:rPr>
                <w:rFonts w:ascii="宋体" w:hAnsi="宋体"/>
                <w:color w:val="000000"/>
                <w:sz w:val="24"/>
                <w:szCs w:val="24"/>
              </w:rPr>
              <w:t>分析师会议</w:t>
            </w:r>
            <w:r>
              <w:rPr>
                <w:rFonts w:hint="eastAsia" w:ascii="宋体" w:hAnsi="宋体"/>
                <w:color w:val="000000"/>
                <w:sz w:val="24"/>
                <w:szCs w:val="24"/>
              </w:rPr>
              <w:t xml:space="preserve"> </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 xml:space="preserve">媒体采访      </w:t>
            </w:r>
            <w:r>
              <w:rPr>
                <w:rFonts w:ascii="宋体" w:hAnsi="宋体"/>
                <w:bCs/>
                <w:iCs/>
                <w:color w:val="000000"/>
                <w:sz w:val="24"/>
                <w:szCs w:val="24"/>
              </w:rPr>
              <w:t>□</w:t>
            </w:r>
            <w:r>
              <w:rPr>
                <w:rFonts w:ascii="宋体" w:hAnsi="宋体"/>
                <w:color w:val="000000"/>
                <w:sz w:val="24"/>
                <w:szCs w:val="24"/>
              </w:rPr>
              <w:t xml:space="preserve">业绩说明会         </w:t>
            </w:r>
            <w:r>
              <w:rPr>
                <w:rFonts w:ascii="宋体" w:hAnsi="宋体"/>
                <w:bCs/>
                <w:iCs/>
                <w:color w:val="000000"/>
                <w:sz w:val="24"/>
                <w:szCs w:val="24"/>
              </w:rPr>
              <w:t>□</w:t>
            </w:r>
            <w:r>
              <w:rPr>
                <w:rFonts w:ascii="宋体" w:hAnsi="宋体"/>
                <w:color w:val="000000"/>
                <w:sz w:val="24"/>
                <w:szCs w:val="24"/>
              </w:rPr>
              <w:t xml:space="preserve">新闻发布会        </w:t>
            </w:r>
            <w:r>
              <w:rPr>
                <w:rFonts w:ascii="宋体" w:hAnsi="宋体"/>
                <w:bCs/>
                <w:iCs/>
                <w:color w:val="000000"/>
                <w:sz w:val="24"/>
                <w:szCs w:val="24"/>
              </w:rPr>
              <w:t>□</w:t>
            </w:r>
            <w:r>
              <w:rPr>
                <w:rFonts w:ascii="宋体" w:hAnsi="宋体"/>
                <w:color w:val="000000"/>
                <w:sz w:val="24"/>
                <w:szCs w:val="24"/>
              </w:rPr>
              <w:t>路演活动</w:t>
            </w:r>
          </w:p>
          <w:p w14:paraId="6D32EC6C">
            <w:pPr>
              <w:tabs>
                <w:tab w:val="left" w:pos="3045"/>
                <w:tab w:val="center" w:pos="3199"/>
              </w:tabs>
              <w:spacing w:line="360" w:lineRule="auto"/>
              <w:rPr>
                <w:bCs/>
                <w:iCs/>
                <w:color w:val="000000"/>
                <w:sz w:val="24"/>
                <w:szCs w:val="24"/>
              </w:rPr>
            </w:pPr>
            <w:r>
              <w:rPr>
                <w:rFonts w:ascii="宋体" w:hAnsi="宋体"/>
                <w:bCs/>
                <w:iCs/>
                <w:color w:val="000000"/>
                <w:sz w:val="24"/>
                <w:szCs w:val="24"/>
              </w:rPr>
              <w:t>√</w:t>
            </w:r>
            <w:r>
              <w:rPr>
                <w:rFonts w:ascii="宋体" w:hAnsi="宋体"/>
                <w:color w:val="000000"/>
                <w:sz w:val="24"/>
                <w:szCs w:val="24"/>
              </w:rPr>
              <w:t>现场</w:t>
            </w:r>
            <w:r>
              <w:rPr>
                <w:rFonts w:hint="eastAsia" w:ascii="宋体" w:hAnsi="宋体"/>
                <w:color w:val="000000"/>
                <w:sz w:val="24"/>
                <w:szCs w:val="24"/>
                <w:lang w:val="en-US" w:eastAsia="zh-CN"/>
              </w:rPr>
              <w:t>交流</w:t>
            </w:r>
            <w:r>
              <w:rPr>
                <w:rFonts w:hint="eastAsia" w:ascii="宋体" w:hAnsi="宋体"/>
                <w:color w:val="000000"/>
                <w:sz w:val="24"/>
                <w:szCs w:val="24"/>
              </w:rPr>
              <w:t xml:space="preserve"> </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其他</w:t>
            </w:r>
          </w:p>
        </w:tc>
      </w:tr>
      <w:tr w14:paraId="558C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D7DAD22">
            <w:pPr>
              <w:spacing w:line="360" w:lineRule="auto"/>
              <w:jc w:val="center"/>
              <w:rPr>
                <w:bCs/>
                <w:iCs/>
                <w:color w:val="000000"/>
                <w:sz w:val="24"/>
                <w:szCs w:val="24"/>
              </w:rPr>
            </w:pPr>
            <w:r>
              <w:rPr>
                <w:bCs/>
                <w:iCs/>
                <w:color w:val="000000"/>
                <w:sz w:val="24"/>
                <w:szCs w:val="24"/>
              </w:rPr>
              <w:t>参与单位名称</w:t>
            </w:r>
          </w:p>
          <w:p w14:paraId="2F34641D">
            <w:pPr>
              <w:spacing w:line="360" w:lineRule="auto"/>
              <w:jc w:val="center"/>
              <w:rPr>
                <w:bCs/>
                <w:iCs/>
                <w:color w:val="000000"/>
                <w:sz w:val="24"/>
                <w:szCs w:val="24"/>
              </w:rPr>
            </w:pPr>
            <w:r>
              <w:rPr>
                <w:bCs/>
                <w:iCs/>
                <w:color w:val="000000"/>
                <w:sz w:val="24"/>
                <w:szCs w:val="24"/>
              </w:rPr>
              <w:t>及人员姓名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07F177C4">
            <w:pPr>
              <w:spacing w:line="360" w:lineRule="auto"/>
              <w:rPr>
                <w:rFonts w:hint="default" w:eastAsia="宋体"/>
                <w:bCs/>
                <w:iCs/>
                <w:color w:val="000000"/>
                <w:sz w:val="24"/>
                <w:szCs w:val="24"/>
                <w:lang w:val="en-US" w:eastAsia="zh-CN"/>
              </w:rPr>
            </w:pPr>
            <w:r>
              <w:rPr>
                <w:rFonts w:hint="default" w:eastAsia="宋体"/>
                <w:bCs/>
                <w:iCs/>
                <w:color w:val="000000"/>
                <w:sz w:val="24"/>
                <w:szCs w:val="24"/>
                <w:lang w:val="en-US" w:eastAsia="zh-CN"/>
              </w:rPr>
              <w:t>中信证券研究部</w:t>
            </w:r>
            <w:r>
              <w:rPr>
                <w:rFonts w:hint="eastAsia"/>
                <w:bCs/>
                <w:iCs/>
                <w:color w:val="000000"/>
                <w:sz w:val="24"/>
                <w:szCs w:val="24"/>
                <w:lang w:val="en-US" w:eastAsia="zh-CN"/>
              </w:rPr>
              <w:t xml:space="preserve">分析师 </w:t>
            </w:r>
            <w:r>
              <w:rPr>
                <w:rFonts w:hint="default" w:eastAsia="宋体"/>
                <w:bCs/>
                <w:iCs/>
                <w:color w:val="000000"/>
                <w:sz w:val="24"/>
                <w:szCs w:val="24"/>
                <w:lang w:val="en-US" w:eastAsia="zh-CN"/>
              </w:rPr>
              <w:t>裘科</w:t>
            </w:r>
          </w:p>
        </w:tc>
      </w:tr>
      <w:tr w14:paraId="390F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04A94593">
            <w:pPr>
              <w:spacing w:line="360" w:lineRule="auto"/>
              <w:jc w:val="center"/>
              <w:rPr>
                <w:bCs/>
                <w:iCs/>
                <w:color w:val="000000"/>
                <w:sz w:val="24"/>
                <w:szCs w:val="24"/>
              </w:rPr>
            </w:pPr>
            <w:r>
              <w:rPr>
                <w:bCs/>
                <w:iCs/>
                <w:color w:val="000000"/>
                <w:sz w:val="24"/>
                <w:szCs w:val="24"/>
              </w:rPr>
              <w:t>时间</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6CDEC3EF">
            <w:pPr>
              <w:spacing w:line="360" w:lineRule="auto"/>
              <w:rPr>
                <w:rFonts w:hint="default" w:eastAsia="宋体"/>
                <w:bCs/>
                <w:iCs/>
                <w:color w:val="000000"/>
                <w:sz w:val="24"/>
                <w:szCs w:val="24"/>
                <w:lang w:val="en-US" w:eastAsia="zh-CN"/>
              </w:rPr>
            </w:pPr>
            <w:r>
              <w:rPr>
                <w:bCs/>
                <w:iCs/>
                <w:color w:val="000000"/>
                <w:sz w:val="24"/>
                <w:szCs w:val="24"/>
              </w:rPr>
              <w:t>202</w:t>
            </w:r>
            <w:r>
              <w:rPr>
                <w:rFonts w:hint="eastAsia"/>
                <w:bCs/>
                <w:iCs/>
                <w:color w:val="000000"/>
                <w:sz w:val="24"/>
                <w:szCs w:val="24"/>
                <w:lang w:val="en-US" w:eastAsia="zh-CN"/>
              </w:rPr>
              <w:t>6</w:t>
            </w:r>
            <w:r>
              <w:rPr>
                <w:bCs/>
                <w:iCs/>
                <w:color w:val="000000"/>
                <w:sz w:val="24"/>
                <w:szCs w:val="24"/>
              </w:rPr>
              <w:t>年</w:t>
            </w:r>
            <w:r>
              <w:rPr>
                <w:rFonts w:hint="eastAsia"/>
                <w:bCs/>
                <w:iCs/>
                <w:color w:val="000000"/>
                <w:sz w:val="24"/>
                <w:szCs w:val="24"/>
                <w:lang w:val="en-US" w:eastAsia="zh-CN"/>
              </w:rPr>
              <w:t>5</w:t>
            </w:r>
            <w:r>
              <w:rPr>
                <w:bCs/>
                <w:iCs/>
                <w:color w:val="000000"/>
                <w:sz w:val="24"/>
                <w:szCs w:val="24"/>
              </w:rPr>
              <w:t>月</w:t>
            </w:r>
            <w:r>
              <w:rPr>
                <w:rFonts w:hint="eastAsia"/>
                <w:bCs/>
                <w:iCs/>
                <w:color w:val="000000"/>
                <w:sz w:val="24"/>
                <w:szCs w:val="24"/>
                <w:lang w:val="en-US" w:eastAsia="zh-CN"/>
              </w:rPr>
              <w:t>20</w:t>
            </w:r>
            <w:r>
              <w:rPr>
                <w:bCs/>
                <w:iCs/>
                <w:color w:val="000000"/>
                <w:sz w:val="24"/>
                <w:szCs w:val="24"/>
              </w:rPr>
              <w:t>日</w:t>
            </w:r>
            <w:r>
              <w:rPr>
                <w:rFonts w:hint="eastAsia"/>
                <w:bCs/>
                <w:iCs/>
                <w:sz w:val="24"/>
                <w:szCs w:val="24"/>
                <w:lang w:val="en-US" w:eastAsia="zh-CN"/>
              </w:rPr>
              <w:t>9:30-11:30</w:t>
            </w:r>
          </w:p>
        </w:tc>
      </w:tr>
      <w:tr w14:paraId="6C47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5FEE520">
            <w:pPr>
              <w:spacing w:line="360" w:lineRule="auto"/>
              <w:jc w:val="center"/>
              <w:rPr>
                <w:bCs/>
                <w:iCs/>
                <w:color w:val="000000"/>
                <w:sz w:val="24"/>
                <w:szCs w:val="24"/>
              </w:rPr>
            </w:pPr>
            <w:r>
              <w:rPr>
                <w:bCs/>
                <w:iCs/>
                <w:color w:val="000000"/>
                <w:sz w:val="24"/>
                <w:szCs w:val="24"/>
              </w:rPr>
              <w:t>地点</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3EA8C980">
            <w:pPr>
              <w:spacing w:line="360" w:lineRule="auto"/>
              <w:rPr>
                <w:bCs/>
                <w:iCs/>
                <w:color w:val="000000"/>
                <w:sz w:val="24"/>
                <w:szCs w:val="24"/>
              </w:rPr>
            </w:pPr>
            <w:r>
              <w:rPr>
                <w:rFonts w:hint="eastAsia"/>
                <w:bCs/>
                <w:iCs/>
                <w:color w:val="000000"/>
                <w:sz w:val="24"/>
                <w:szCs w:val="24"/>
              </w:rPr>
              <w:t>龙岩高岭土股份有限公司</w:t>
            </w:r>
          </w:p>
        </w:tc>
      </w:tr>
      <w:tr w14:paraId="6E23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154C128">
            <w:pPr>
              <w:spacing w:line="360" w:lineRule="auto"/>
              <w:jc w:val="center"/>
              <w:rPr>
                <w:bCs/>
                <w:iCs/>
                <w:color w:val="000000"/>
                <w:sz w:val="24"/>
                <w:szCs w:val="24"/>
              </w:rPr>
            </w:pPr>
            <w:r>
              <w:rPr>
                <w:bCs/>
                <w:iCs/>
                <w:color w:val="000000"/>
                <w:sz w:val="24"/>
                <w:szCs w:val="24"/>
              </w:rPr>
              <w:t>上市公司接待</w:t>
            </w:r>
          </w:p>
          <w:p w14:paraId="7EEE3C38">
            <w:pPr>
              <w:spacing w:line="360" w:lineRule="auto"/>
              <w:jc w:val="center"/>
              <w:rPr>
                <w:bCs/>
                <w:iCs/>
                <w:color w:val="000000"/>
                <w:sz w:val="24"/>
                <w:szCs w:val="24"/>
              </w:rPr>
            </w:pPr>
            <w:r>
              <w:rPr>
                <w:bCs/>
                <w:iCs/>
                <w:color w:val="000000"/>
                <w:sz w:val="24"/>
                <w:szCs w:val="24"/>
              </w:rPr>
              <w:t>人员姓名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148930D9">
            <w:pPr>
              <w:spacing w:line="360" w:lineRule="auto"/>
              <w:rPr>
                <w:rFonts w:hint="default" w:eastAsia="宋体"/>
                <w:bCs/>
                <w:iCs/>
                <w:color w:val="000000"/>
                <w:sz w:val="24"/>
                <w:szCs w:val="24"/>
                <w:lang w:val="en-US" w:eastAsia="zh-CN"/>
              </w:rPr>
            </w:pPr>
            <w:r>
              <w:rPr>
                <w:rFonts w:hint="eastAsia"/>
                <w:bCs/>
                <w:iCs/>
                <w:color w:val="000000"/>
                <w:sz w:val="24"/>
                <w:szCs w:val="24"/>
                <w:lang w:val="en-US" w:eastAsia="zh-CN"/>
              </w:rPr>
              <w:t>公司证券事务代表黄伟斌</w:t>
            </w:r>
            <w:bookmarkStart w:id="0" w:name="_GoBack"/>
            <w:bookmarkEnd w:id="0"/>
          </w:p>
        </w:tc>
      </w:tr>
      <w:tr w14:paraId="41EE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9A4392F">
            <w:pPr>
              <w:spacing w:line="360" w:lineRule="auto"/>
              <w:jc w:val="center"/>
              <w:rPr>
                <w:bCs/>
                <w:iCs/>
                <w:color w:val="000000"/>
                <w:sz w:val="24"/>
                <w:szCs w:val="24"/>
              </w:rPr>
            </w:pPr>
            <w:r>
              <w:rPr>
                <w:bCs/>
                <w:iCs/>
                <w:color w:val="000000"/>
                <w:sz w:val="24"/>
                <w:szCs w:val="24"/>
              </w:rPr>
              <w:t>投资者关系活动主要内容介绍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4E7CDB6F">
            <w:pPr>
              <w:keepNext w:val="0"/>
              <w:keepLines w:val="0"/>
              <w:pageBreakBefore w:val="0"/>
              <w:widowControl/>
              <w:kinsoku/>
              <w:wordWrap/>
              <w:overflowPunct/>
              <w:topLinePunct w:val="0"/>
              <w:autoSpaceDE/>
              <w:autoSpaceDN/>
              <w:bidi w:val="0"/>
              <w:spacing w:line="440" w:lineRule="atLeast"/>
              <w:ind w:firstLine="482" w:firstLineChars="200"/>
              <w:rPr>
                <w:b/>
                <w:bCs/>
                <w:sz w:val="24"/>
              </w:rPr>
            </w:pPr>
            <w:r>
              <w:rPr>
                <w:rFonts w:hint="eastAsia"/>
                <w:b/>
                <w:bCs/>
                <w:sz w:val="24"/>
              </w:rPr>
              <w:t>交流情况：</w:t>
            </w:r>
          </w:p>
          <w:p w14:paraId="29DA7240">
            <w:pPr>
              <w:keepNext w:val="0"/>
              <w:keepLines w:val="0"/>
              <w:pageBreakBefore w:val="0"/>
              <w:kinsoku/>
              <w:wordWrap/>
              <w:overflowPunct/>
              <w:topLinePunct w:val="0"/>
              <w:autoSpaceDE/>
              <w:autoSpaceDN/>
              <w:bidi w:val="0"/>
              <w:spacing w:line="440" w:lineRule="atLeast"/>
              <w:ind w:firstLine="482" w:firstLineChars="200"/>
              <w:textAlignment w:val="center"/>
              <w:rPr>
                <w:rFonts w:hint="eastAsia" w:eastAsia="宋体"/>
                <w:b/>
                <w:bCs/>
                <w:color w:val="000000"/>
                <w:sz w:val="24"/>
                <w:szCs w:val="24"/>
                <w:lang w:eastAsia="zh-CN"/>
              </w:rPr>
            </w:pPr>
            <w:r>
              <w:rPr>
                <w:rFonts w:hint="eastAsia"/>
                <w:b/>
                <w:bCs/>
                <w:color w:val="000000"/>
                <w:sz w:val="24"/>
                <w:szCs w:val="24"/>
              </w:rPr>
              <w:t>1</w:t>
            </w:r>
            <w:r>
              <w:rPr>
                <w:b/>
                <w:bCs/>
                <w:color w:val="000000"/>
                <w:sz w:val="24"/>
                <w:szCs w:val="24"/>
              </w:rPr>
              <w:t>、</w:t>
            </w:r>
            <w:r>
              <w:rPr>
                <w:rFonts w:hint="eastAsia"/>
                <w:b/>
                <w:bCs/>
                <w:color w:val="000000"/>
                <w:sz w:val="24"/>
                <w:szCs w:val="24"/>
              </w:rPr>
              <w:t>请介绍</w:t>
            </w:r>
            <w:r>
              <w:rPr>
                <w:b/>
                <w:bCs/>
                <w:color w:val="000000"/>
                <w:sz w:val="24"/>
                <w:szCs w:val="24"/>
              </w:rPr>
              <w:t>公司</w:t>
            </w:r>
            <w:r>
              <w:rPr>
                <w:rFonts w:hint="eastAsia"/>
                <w:b/>
                <w:bCs/>
                <w:color w:val="000000"/>
                <w:sz w:val="24"/>
                <w:szCs w:val="24"/>
                <w:lang w:val="en-US" w:eastAsia="zh-CN"/>
              </w:rPr>
              <w:t>基本情况</w:t>
            </w:r>
          </w:p>
          <w:p w14:paraId="720BE6F5">
            <w:pPr>
              <w:keepNext w:val="0"/>
              <w:keepLines w:val="0"/>
              <w:pageBreakBefore w:val="0"/>
              <w:widowControl/>
              <w:kinsoku/>
              <w:wordWrap/>
              <w:overflowPunct/>
              <w:topLinePunct w:val="0"/>
              <w:autoSpaceDE/>
              <w:autoSpaceDN/>
              <w:bidi w:val="0"/>
              <w:spacing w:line="440" w:lineRule="atLeast"/>
              <w:ind w:firstLine="480" w:firstLineChars="200"/>
              <w:rPr>
                <w:rFonts w:ascii="Times New Roman" w:hAnsi="Times New Roman" w:eastAsia="宋体" w:cs="Times New Roman"/>
                <w:sz w:val="24"/>
              </w:rPr>
            </w:pPr>
            <w:r>
              <w:rPr>
                <w:rFonts w:hint="eastAsia"/>
                <w:color w:val="000000"/>
                <w:sz w:val="24"/>
                <w:szCs w:val="24"/>
              </w:rPr>
              <w:t>回复：</w:t>
            </w:r>
            <w:r>
              <w:rPr>
                <w:rFonts w:hint="eastAsia" w:ascii="Times New Roman" w:hAnsi="Times New Roman" w:eastAsia="宋体" w:cs="Times New Roman"/>
                <w:sz w:val="24"/>
              </w:rPr>
              <w:t>龙高股份</w:t>
            </w:r>
            <w:r>
              <w:rPr>
                <w:rFonts w:ascii="Times New Roman" w:hAnsi="Times New Roman" w:eastAsia="宋体" w:cs="Times New Roman"/>
                <w:sz w:val="24"/>
              </w:rPr>
              <w:t>成立于2003年4月，2017年12月改制为股份公司，2021年4月16日在上海证券交易所主板挂牌上市。</w:t>
            </w:r>
          </w:p>
          <w:p w14:paraId="09A2FBD8">
            <w:pPr>
              <w:keepNext w:val="0"/>
              <w:keepLines w:val="0"/>
              <w:pageBreakBefore w:val="0"/>
              <w:kinsoku/>
              <w:wordWrap/>
              <w:overflowPunct/>
              <w:topLinePunct w:val="0"/>
              <w:autoSpaceDE/>
              <w:autoSpaceDN/>
              <w:bidi w:val="0"/>
              <w:spacing w:line="440" w:lineRule="atLeast"/>
              <w:ind w:firstLine="480" w:firstLineChars="200"/>
              <w:textAlignment w:val="center"/>
              <w:rPr>
                <w:rFonts w:hint="eastAsia" w:ascii="Times New Roman" w:hAnsi="Times New Roman" w:eastAsia="宋体" w:cs="Times New Roman"/>
                <w:sz w:val="24"/>
              </w:rPr>
            </w:pPr>
            <w:r>
              <w:rPr>
                <w:rFonts w:ascii="Times New Roman" w:hAnsi="Times New Roman" w:eastAsia="宋体" w:cs="Times New Roman"/>
                <w:sz w:val="24"/>
              </w:rPr>
              <w:t>公司系全国陶瓷原料用高岭土生产供应基地，集采矿、选矿、研发、销售于一体的科技创新型企业</w:t>
            </w:r>
            <w:r>
              <w:rPr>
                <w:rFonts w:hint="eastAsia" w:ascii="Times New Roman" w:hAnsi="Times New Roman" w:eastAsia="宋体" w:cs="Times New Roman"/>
                <w:sz w:val="24"/>
              </w:rPr>
              <w:t>，</w:t>
            </w:r>
            <w:r>
              <w:rPr>
                <w:rFonts w:ascii="Times New Roman" w:hAnsi="Times New Roman" w:eastAsia="宋体" w:cs="Times New Roman"/>
                <w:sz w:val="24"/>
              </w:rPr>
              <w:t>拥有总探明原矿储量4,976.03万吨的龙岩东宫下高岭土矿独家开采权，截至202</w:t>
            </w:r>
            <w:r>
              <w:rPr>
                <w:rFonts w:hint="eastAsia" w:ascii="Times New Roman" w:hAnsi="Times New Roman" w:eastAsia="宋体" w:cs="Times New Roman"/>
                <w:sz w:val="24"/>
                <w:lang w:val="en-US" w:eastAsia="zh-CN"/>
              </w:rPr>
              <w:t>5</w:t>
            </w:r>
            <w:r>
              <w:rPr>
                <w:rFonts w:ascii="Times New Roman" w:hAnsi="Times New Roman" w:eastAsia="宋体" w:cs="Times New Roman"/>
                <w:sz w:val="24"/>
              </w:rPr>
              <w:t>年12月31日，东宫下高岭土矿保有资源储量</w:t>
            </w:r>
            <w:r>
              <w:rPr>
                <w:rFonts w:hint="eastAsia" w:ascii="Times New Roman" w:hAnsi="Times New Roman" w:eastAsia="宋体" w:cs="Times New Roman"/>
                <w:sz w:val="24"/>
              </w:rPr>
              <w:t>2,935.33万吨</w:t>
            </w:r>
            <w:r>
              <w:rPr>
                <w:rFonts w:ascii="Times New Roman" w:hAnsi="Times New Roman" w:eastAsia="宋体" w:cs="Times New Roman"/>
                <w:sz w:val="24"/>
              </w:rPr>
              <w:t>，为国内特大型优质高岭土矿床，适宜露天开采</w:t>
            </w:r>
            <w:r>
              <w:rPr>
                <w:rFonts w:hint="eastAsia" w:ascii="Times New Roman" w:hAnsi="Times New Roman" w:eastAsia="宋体" w:cs="Times New Roman"/>
                <w:sz w:val="24"/>
              </w:rPr>
              <w:t>。</w:t>
            </w:r>
          </w:p>
          <w:p w14:paraId="33772D97">
            <w:pPr>
              <w:keepNext w:val="0"/>
              <w:keepLines w:val="0"/>
              <w:pageBreakBefore w:val="0"/>
              <w:kinsoku/>
              <w:wordWrap/>
              <w:overflowPunct/>
              <w:topLinePunct w:val="0"/>
              <w:autoSpaceDE/>
              <w:autoSpaceDN/>
              <w:bidi w:val="0"/>
              <w:spacing w:line="440" w:lineRule="atLeast"/>
              <w:ind w:firstLine="482" w:firstLineChars="200"/>
              <w:textAlignment w:val="center"/>
              <w:rPr>
                <w:b/>
                <w:bCs/>
                <w:color w:val="000000"/>
                <w:sz w:val="24"/>
                <w:szCs w:val="24"/>
              </w:rPr>
            </w:pPr>
            <w:r>
              <w:rPr>
                <w:rFonts w:hint="eastAsia"/>
                <w:b/>
                <w:bCs/>
                <w:color w:val="000000"/>
                <w:sz w:val="24"/>
                <w:szCs w:val="24"/>
                <w:lang w:val="en-US" w:eastAsia="zh-CN"/>
              </w:rPr>
              <w:t>2</w:t>
            </w:r>
            <w:r>
              <w:rPr>
                <w:rFonts w:hint="eastAsia"/>
                <w:b/>
                <w:bCs/>
                <w:color w:val="000000"/>
                <w:sz w:val="24"/>
                <w:szCs w:val="24"/>
              </w:rPr>
              <w:t>、公司主要客户是哪些群体？分布在哪些省市？</w:t>
            </w:r>
          </w:p>
          <w:p w14:paraId="1FA25B2E">
            <w:pPr>
              <w:keepNext w:val="0"/>
              <w:keepLines w:val="0"/>
              <w:pageBreakBefore w:val="0"/>
              <w:widowControl/>
              <w:kinsoku/>
              <w:wordWrap/>
              <w:overflowPunct/>
              <w:topLinePunct w:val="0"/>
              <w:autoSpaceDE/>
              <w:autoSpaceDN/>
              <w:bidi w:val="0"/>
              <w:spacing w:line="440" w:lineRule="atLeast"/>
              <w:ind w:firstLine="480" w:firstLineChars="200"/>
              <w:textAlignment w:val="center"/>
              <w:rPr>
                <w:rFonts w:hint="eastAsia"/>
                <w:color w:val="000000"/>
                <w:sz w:val="24"/>
                <w:szCs w:val="24"/>
              </w:rPr>
            </w:pPr>
            <w:r>
              <w:rPr>
                <w:rFonts w:hint="eastAsia"/>
                <w:color w:val="000000"/>
                <w:sz w:val="24"/>
                <w:szCs w:val="24"/>
              </w:rPr>
              <w:t>回复：公司高岭土属于非煤系高岭土，公司高岭土产品具有自然白度高、杂质含量低、烧成白度和强度高、成瓷性能好等优点，是中、高档日用陶瓷、工艺美术瓷和高档建筑陶瓷的优质原材料。</w:t>
            </w:r>
          </w:p>
          <w:p w14:paraId="38A10C9A">
            <w:pPr>
              <w:keepNext w:val="0"/>
              <w:keepLines w:val="0"/>
              <w:pageBreakBefore w:val="0"/>
              <w:widowControl/>
              <w:kinsoku/>
              <w:wordWrap/>
              <w:overflowPunct/>
              <w:topLinePunct w:val="0"/>
              <w:autoSpaceDE/>
              <w:autoSpaceDN/>
              <w:bidi w:val="0"/>
              <w:spacing w:line="440" w:lineRule="atLeast"/>
              <w:ind w:firstLine="480" w:firstLineChars="200"/>
              <w:textAlignment w:val="center"/>
              <w:rPr>
                <w:color w:val="000000"/>
                <w:sz w:val="24"/>
                <w:szCs w:val="24"/>
              </w:rPr>
            </w:pPr>
            <w:r>
              <w:rPr>
                <w:rFonts w:hint="eastAsia"/>
                <w:color w:val="000000"/>
                <w:sz w:val="24"/>
                <w:szCs w:val="24"/>
              </w:rPr>
              <w:t>公司客户包含中、高档日用陶瓷、工艺美术瓷和高档建筑陶瓷等产业客户，主要客户群体分布在福建省、广东省、山东省等国内重要陶瓷产区。工艺美术瓷与日用陶瓷对陶瓷产品品质要求高，主要采购精矿产品和原矿产品；建筑陶瓷与卫生洁具产量大，质量要求较低，主要采购综合利用产品。</w:t>
            </w:r>
          </w:p>
          <w:p w14:paraId="6AFA82BF">
            <w:pPr>
              <w:keepNext w:val="0"/>
              <w:keepLines w:val="0"/>
              <w:pageBreakBefore w:val="0"/>
              <w:kinsoku/>
              <w:wordWrap/>
              <w:overflowPunct/>
              <w:topLinePunct w:val="0"/>
              <w:autoSpaceDE/>
              <w:autoSpaceDN/>
              <w:bidi w:val="0"/>
              <w:adjustRightInd w:val="0"/>
              <w:snapToGrid w:val="0"/>
              <w:spacing w:line="440" w:lineRule="atLeast"/>
              <w:ind w:firstLine="482" w:firstLineChars="200"/>
              <w:textAlignment w:val="center"/>
              <w:rPr>
                <w:rFonts w:hint="eastAsia" w:cs="Times New Roman" w:eastAsiaTheme="majorEastAsia"/>
                <w:b/>
                <w:bCs/>
                <w:sz w:val="24"/>
                <w:szCs w:val="24"/>
                <w:lang w:val="en-US" w:eastAsia="zh-CN"/>
              </w:rPr>
            </w:pPr>
            <w:r>
              <w:rPr>
                <w:rFonts w:hint="eastAsia" w:cs="Times New Roman" w:eastAsiaTheme="majorEastAsia"/>
                <w:b/>
                <w:bCs/>
                <w:sz w:val="24"/>
                <w:szCs w:val="24"/>
                <w:lang w:val="en-US" w:eastAsia="zh-CN"/>
              </w:rPr>
              <w:t>3、请说明公司业绩下滑原因</w:t>
            </w:r>
          </w:p>
          <w:p w14:paraId="47F30F37">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center"/>
              <w:rPr>
                <w:rFonts w:hint="default" w:cs="Times New Roman" w:eastAsiaTheme="majorEastAsia"/>
                <w:b/>
                <w:bCs/>
                <w:sz w:val="24"/>
                <w:szCs w:val="24"/>
                <w:lang w:val="en-US" w:eastAsia="zh-CN"/>
              </w:rPr>
            </w:pPr>
            <w:r>
              <w:rPr>
                <w:rFonts w:hint="eastAsia" w:cs="Times New Roman" w:eastAsiaTheme="majorEastAsia"/>
                <w:b w:val="0"/>
                <w:bCs w:val="0"/>
                <w:sz w:val="24"/>
                <w:szCs w:val="24"/>
                <w:lang w:val="en-US" w:eastAsia="zh-CN"/>
              </w:rPr>
              <w:t>回复：</w:t>
            </w:r>
            <w:r>
              <w:rPr>
                <w:rFonts w:hint="eastAsia"/>
                <w:sz w:val="24"/>
                <w:szCs w:val="24"/>
                <w:lang w:val="en-US" w:eastAsia="zh-CN"/>
              </w:rPr>
              <w:t>陶瓷行业</w:t>
            </w:r>
            <w:r>
              <w:rPr>
                <w:rFonts w:hint="eastAsia"/>
                <w:b w:val="0"/>
                <w:bCs w:val="0"/>
                <w:sz w:val="24"/>
                <w:szCs w:val="24"/>
                <w:lang w:val="en-US" w:eastAsia="zh-CN"/>
              </w:rPr>
              <w:t>受国际市场需求疲软、国际贸易形势复杂、国内陶瓷行业竞争加</w:t>
            </w:r>
            <w:r>
              <w:rPr>
                <w:rFonts w:hint="eastAsia"/>
                <w:sz w:val="24"/>
                <w:szCs w:val="24"/>
                <w:lang w:val="en-US" w:eastAsia="zh-CN"/>
              </w:rPr>
              <w:t>剧及市场整体下行的影响，行业订单量有所减少；同时，日用陶瓷行业产品原材料采购结构出现阶段性变化。综合影响下，公司产品销售量下滑，导致营业收入、利润总额及净利润同比下降。</w:t>
            </w:r>
          </w:p>
          <w:p w14:paraId="177507AE">
            <w:pPr>
              <w:keepNext w:val="0"/>
              <w:keepLines w:val="0"/>
              <w:pageBreakBefore w:val="0"/>
              <w:kinsoku/>
              <w:wordWrap/>
              <w:overflowPunct/>
              <w:topLinePunct w:val="0"/>
              <w:autoSpaceDE/>
              <w:autoSpaceDN/>
              <w:bidi w:val="0"/>
              <w:adjustRightInd w:val="0"/>
              <w:snapToGrid w:val="0"/>
              <w:spacing w:line="440" w:lineRule="atLeast"/>
              <w:ind w:firstLine="482" w:firstLineChars="200"/>
              <w:textAlignment w:val="center"/>
              <w:rPr>
                <w:b/>
                <w:bCs/>
                <w:color w:val="000000"/>
                <w:sz w:val="24"/>
                <w:szCs w:val="24"/>
              </w:rPr>
            </w:pPr>
            <w:r>
              <w:rPr>
                <w:rFonts w:hint="eastAsia" w:cs="Times New Roman" w:eastAsiaTheme="majorEastAsia"/>
                <w:b/>
                <w:bCs/>
                <w:sz w:val="24"/>
                <w:szCs w:val="24"/>
                <w:lang w:val="en-US" w:eastAsia="zh-CN"/>
              </w:rPr>
              <w:t>4、请介绍</w:t>
            </w:r>
            <w:r>
              <w:rPr>
                <w:rFonts w:hint="eastAsia"/>
                <w:b/>
                <w:bCs/>
                <w:color w:val="000000"/>
                <w:sz w:val="24"/>
                <w:szCs w:val="24"/>
              </w:rPr>
              <w:t>公司</w:t>
            </w:r>
            <w:r>
              <w:rPr>
                <w:rFonts w:hint="eastAsia"/>
                <w:b/>
                <w:bCs/>
                <w:color w:val="000000"/>
                <w:sz w:val="24"/>
                <w:szCs w:val="24"/>
                <w:lang w:eastAsia="zh-CN"/>
              </w:rPr>
              <w:t>的</w:t>
            </w:r>
            <w:r>
              <w:rPr>
                <w:rFonts w:hint="eastAsia"/>
                <w:b/>
                <w:bCs/>
                <w:color w:val="000000"/>
                <w:sz w:val="24"/>
                <w:szCs w:val="24"/>
                <w:lang w:val="en-US" w:eastAsia="zh-CN"/>
              </w:rPr>
              <w:t>发展战略</w:t>
            </w:r>
          </w:p>
          <w:p w14:paraId="6F7D6862">
            <w:pPr>
              <w:keepNext w:val="0"/>
              <w:keepLines w:val="0"/>
              <w:pageBreakBefore w:val="0"/>
              <w:kinsoku/>
              <w:wordWrap/>
              <w:overflowPunct/>
              <w:topLinePunct w:val="0"/>
              <w:autoSpaceDE/>
              <w:autoSpaceDN/>
              <w:bidi w:val="0"/>
              <w:spacing w:line="440" w:lineRule="atLeast"/>
              <w:ind w:firstLine="480" w:firstLineChars="200"/>
              <w:textAlignment w:val="center"/>
              <w:rPr>
                <w:rFonts w:hint="eastAsia" w:ascii="宋体" w:hAnsi="宋体" w:cs="宋体"/>
                <w:sz w:val="24"/>
                <w:szCs w:val="24"/>
                <w:lang w:val="en-US" w:eastAsia="zh-CN"/>
              </w:rPr>
            </w:pPr>
            <w:r>
              <w:rPr>
                <w:rFonts w:hint="eastAsia" w:ascii="宋体" w:hAnsi="宋体" w:cs="宋体"/>
                <w:sz w:val="24"/>
                <w:szCs w:val="24"/>
              </w:rPr>
              <w:t>回复：</w:t>
            </w:r>
            <w:r>
              <w:rPr>
                <w:rFonts w:hint="eastAsia" w:ascii="宋体" w:hAnsi="宋体" w:cs="宋体"/>
                <w:sz w:val="24"/>
                <w:szCs w:val="24"/>
                <w:lang w:val="en-US" w:eastAsia="zh-CN"/>
              </w:rPr>
              <w:t>公司以打造全国高岭土行业领军企业和非金属矿行业龙头企业为战略目标，坚持“深度开发，综合利用，做大产业群，延伸非金属矿产业链”的发展方向，坚持“产业延伸走下去，资源布局走出去”并举、“实业经营+资本运营”并重的发展战略，坚持立足龙岩，面向全国，着眼全球，根植于非金属矿产资源行业，建立健全完整产业链生态，完成从单矿种到多矿种、单矿山到多矿山、单产业到多产业协同发展的转型，推动公司从传统资源依托型企业发展成为技术驱动、创新引领的现代化资源型矿业企业。</w:t>
            </w:r>
          </w:p>
          <w:p w14:paraId="77427B48">
            <w:pPr>
              <w:keepNext w:val="0"/>
              <w:keepLines w:val="0"/>
              <w:pageBreakBefore w:val="0"/>
              <w:kinsoku/>
              <w:wordWrap/>
              <w:overflowPunct/>
              <w:topLinePunct w:val="0"/>
              <w:autoSpaceDE/>
              <w:autoSpaceDN/>
              <w:bidi w:val="0"/>
              <w:adjustRightInd w:val="0"/>
              <w:snapToGrid w:val="0"/>
              <w:spacing w:line="440" w:lineRule="atLeast"/>
              <w:ind w:firstLine="482" w:firstLineChars="200"/>
              <w:textAlignment w:val="center"/>
              <w:rPr>
                <w:rFonts w:hint="default"/>
                <w:b/>
                <w:bCs/>
                <w:color w:val="000000"/>
                <w:sz w:val="24"/>
                <w:szCs w:val="24"/>
                <w:lang w:val="en-US"/>
              </w:rPr>
            </w:pPr>
            <w:r>
              <w:rPr>
                <w:rFonts w:hint="eastAsia" w:cs="Times New Roman" w:eastAsiaTheme="majorEastAsia"/>
                <w:b/>
                <w:bCs/>
                <w:sz w:val="24"/>
                <w:szCs w:val="24"/>
                <w:lang w:val="en-US" w:eastAsia="zh-CN"/>
              </w:rPr>
              <w:t>5、请介绍</w:t>
            </w:r>
            <w:r>
              <w:rPr>
                <w:rFonts w:hint="eastAsia"/>
                <w:b/>
                <w:bCs/>
                <w:color w:val="000000"/>
                <w:sz w:val="24"/>
                <w:szCs w:val="24"/>
              </w:rPr>
              <w:t>公司</w:t>
            </w:r>
            <w:r>
              <w:rPr>
                <w:rFonts w:hint="eastAsia"/>
                <w:b/>
                <w:bCs/>
                <w:color w:val="000000"/>
                <w:sz w:val="24"/>
                <w:szCs w:val="24"/>
                <w:lang w:val="en-US" w:eastAsia="zh-CN"/>
              </w:rPr>
              <w:t>2025年度对外投资情况</w:t>
            </w:r>
          </w:p>
          <w:p w14:paraId="36D6BC82">
            <w:pPr>
              <w:keepNext w:val="0"/>
              <w:keepLines w:val="0"/>
              <w:pageBreakBefore w:val="0"/>
              <w:kinsoku/>
              <w:wordWrap/>
              <w:overflowPunct/>
              <w:topLinePunct w:val="0"/>
              <w:autoSpaceDE/>
              <w:autoSpaceDN/>
              <w:bidi w:val="0"/>
              <w:spacing w:line="440" w:lineRule="atLeast"/>
              <w:ind w:firstLine="480" w:firstLineChars="200"/>
              <w:textAlignment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回复：在战略投资者的推动下，公司寻求的非金属矿产资源储备品种将更加聚焦于萤石和高纯石英。</w:t>
            </w:r>
            <w:r>
              <w:rPr>
                <w:rFonts w:hint="eastAsia" w:cs="Times New Roman"/>
                <w:sz w:val="24"/>
                <w:szCs w:val="24"/>
                <w:lang w:val="en-US" w:eastAsia="zh-CN"/>
              </w:rPr>
              <w:t>2025年，</w:t>
            </w:r>
            <w:r>
              <w:rPr>
                <w:rFonts w:hint="default" w:ascii="Times New Roman" w:hAnsi="Times New Roman" w:cs="Times New Roman"/>
                <w:sz w:val="24"/>
                <w:szCs w:val="24"/>
                <w:lang w:val="en-US" w:eastAsia="zh-CN"/>
              </w:rPr>
              <w:t>公司通过多渠道收集投资项目信息，累计筛选完成124个项目信息，其中，实地考察20个，重点论证8个，组织投标2个；完成产业链延伸报告及3份行业调研报告，重点跟进6个项目。2025年度暂未实现项目落地。</w:t>
            </w:r>
          </w:p>
          <w:p w14:paraId="44DCBC62">
            <w:pPr>
              <w:keepNext w:val="0"/>
              <w:keepLines w:val="0"/>
              <w:pageBreakBefore w:val="0"/>
              <w:kinsoku/>
              <w:wordWrap/>
              <w:overflowPunct/>
              <w:topLinePunct w:val="0"/>
              <w:autoSpaceDE/>
              <w:autoSpaceDN/>
              <w:bidi w:val="0"/>
              <w:spacing w:line="440" w:lineRule="atLeast"/>
              <w:ind w:firstLine="480" w:firstLineChars="200"/>
              <w:textAlignment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投后管理方面：</w:t>
            </w:r>
            <w:r>
              <w:rPr>
                <w:rFonts w:hint="eastAsia" w:cs="Times New Roman"/>
                <w:sz w:val="24"/>
                <w:szCs w:val="24"/>
                <w:lang w:val="en-US" w:eastAsia="zh-CN"/>
              </w:rPr>
              <w:t>（1）</w:t>
            </w:r>
            <w:r>
              <w:rPr>
                <w:rFonts w:hint="default" w:ascii="Times New Roman" w:hAnsi="Times New Roman" w:cs="Times New Roman"/>
                <w:sz w:val="24"/>
                <w:szCs w:val="24"/>
                <w:lang w:val="en-US" w:eastAsia="zh-CN"/>
              </w:rPr>
              <w:t>公司主导生产经营的参股公司潮州市龙燕矿业有限公司实现稳健运营，2025年度实现营业收入10,460.65万元，净利润2,766.86万元。</w:t>
            </w:r>
            <w:r>
              <w:rPr>
                <w:rFonts w:hint="eastAsia" w:cs="Times New Roman"/>
                <w:sz w:val="24"/>
                <w:szCs w:val="24"/>
                <w:lang w:val="en-US" w:eastAsia="zh-CN"/>
              </w:rPr>
              <w:t>（2）</w:t>
            </w:r>
            <w:r>
              <w:rPr>
                <w:rFonts w:hint="default" w:ascii="Times New Roman" w:hAnsi="Times New Roman" w:cs="Times New Roman"/>
                <w:sz w:val="24"/>
                <w:szCs w:val="24"/>
                <w:lang w:val="en-US" w:eastAsia="zh-CN"/>
              </w:rPr>
              <w:t>2026年3月31日，公司参股企业洛阳盛龙矿业集团股份有限公司顺利于深圳证券交易所挂牌上市。</w:t>
            </w:r>
          </w:p>
          <w:p w14:paraId="6333D105">
            <w:pPr>
              <w:spacing w:line="460" w:lineRule="exact"/>
              <w:ind w:firstLine="480" w:firstLineChars="200"/>
              <w:textAlignment w:val="center"/>
              <w:rPr>
                <w:rFonts w:hint="default" w:ascii="Times New Roman" w:hAnsi="Times New Roman" w:cs="Times New Roman"/>
                <w:sz w:val="24"/>
                <w:szCs w:val="24"/>
                <w:lang w:val="en-US" w:eastAsia="zh-CN"/>
              </w:rPr>
            </w:pPr>
          </w:p>
          <w:p w14:paraId="239C992C">
            <w:pPr>
              <w:spacing w:line="460" w:lineRule="exact"/>
              <w:ind w:firstLine="480" w:firstLineChars="200"/>
              <w:textAlignment w:val="center"/>
              <w:rPr>
                <w:rFonts w:hint="eastAsia" w:ascii="宋体" w:hAnsi="宋体" w:cs="宋体"/>
                <w:sz w:val="24"/>
                <w:szCs w:val="24"/>
                <w:lang w:val="en-US" w:eastAsia="zh-CN"/>
              </w:rPr>
            </w:pPr>
          </w:p>
          <w:p w14:paraId="4B84D6C6">
            <w:pPr>
              <w:widowControl/>
              <w:spacing w:line="360" w:lineRule="auto"/>
              <w:ind w:firstLine="480" w:firstLineChars="200"/>
              <w:rPr>
                <w:rFonts w:hint="eastAsia"/>
                <w:color w:val="000000"/>
                <w:sz w:val="24"/>
                <w:szCs w:val="24"/>
              </w:rPr>
            </w:pPr>
          </w:p>
          <w:p w14:paraId="7DFF0152">
            <w:pPr>
              <w:widowControl/>
              <w:spacing w:line="360" w:lineRule="auto"/>
              <w:ind w:firstLine="480" w:firstLineChars="200"/>
              <w:rPr>
                <w:rFonts w:hint="eastAsia" w:ascii="Times New Roman" w:hAnsi="Times New Roman" w:cs="Times New Roman" w:eastAsiaTheme="majorEastAsia"/>
                <w:b w:val="0"/>
                <w:bCs w:val="0"/>
                <w:sz w:val="24"/>
                <w:szCs w:val="24"/>
                <w:lang w:val="en-US" w:eastAsia="zh-CN"/>
              </w:rPr>
            </w:pPr>
          </w:p>
          <w:p w14:paraId="738626A9">
            <w:pPr>
              <w:widowControl/>
              <w:spacing w:line="360" w:lineRule="auto"/>
              <w:ind w:firstLine="480" w:firstLineChars="200"/>
              <w:rPr>
                <w:sz w:val="24"/>
              </w:rPr>
            </w:pPr>
          </w:p>
          <w:p w14:paraId="171CF94D">
            <w:pPr>
              <w:widowControl/>
              <w:spacing w:line="360" w:lineRule="auto"/>
              <w:ind w:firstLine="480" w:firstLineChars="200"/>
              <w:rPr>
                <w:sz w:val="24"/>
              </w:rPr>
            </w:pPr>
          </w:p>
          <w:p w14:paraId="4A226A1A">
            <w:pPr>
              <w:widowControl/>
              <w:spacing w:line="360" w:lineRule="auto"/>
              <w:ind w:firstLine="480" w:firstLineChars="200"/>
              <w:rPr>
                <w:sz w:val="24"/>
              </w:rPr>
            </w:pPr>
          </w:p>
          <w:p w14:paraId="3E11DB5E">
            <w:pPr>
              <w:widowControl/>
              <w:spacing w:line="360" w:lineRule="auto"/>
              <w:ind w:firstLine="480" w:firstLineChars="200"/>
              <w:rPr>
                <w:sz w:val="24"/>
              </w:rPr>
            </w:pPr>
          </w:p>
          <w:p w14:paraId="7F41D9AC">
            <w:pPr>
              <w:widowControl/>
              <w:spacing w:line="360" w:lineRule="auto"/>
              <w:rPr>
                <w:sz w:val="24"/>
              </w:rPr>
            </w:pPr>
          </w:p>
          <w:p w14:paraId="35315DF9">
            <w:pPr>
              <w:widowControl/>
              <w:spacing w:line="360" w:lineRule="auto"/>
              <w:rPr>
                <w:sz w:val="24"/>
              </w:rPr>
            </w:pPr>
          </w:p>
        </w:tc>
      </w:tr>
    </w:tbl>
    <w:p w14:paraId="76CB2574">
      <w:pPr>
        <w:rPr>
          <w:rFonts w:ascii="仿宋" w:hAnsi="仿宋" w:eastAsia="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5851402"/>
    </w:sdtPr>
    <w:sdtContent>
      <w:p w14:paraId="6BC8FDB0">
        <w:pPr>
          <w:pStyle w:val="4"/>
          <w:jc w:val="center"/>
        </w:pPr>
        <w:r>
          <w:fldChar w:fldCharType="begin"/>
        </w:r>
        <w:r>
          <w:instrText xml:space="preserve">PAGE   \* MERGEFORMAT</w:instrText>
        </w:r>
        <w:r>
          <w:fldChar w:fldCharType="separate"/>
        </w:r>
        <w:r>
          <w:rPr>
            <w:lang w:val="zh-CN"/>
          </w:rPr>
          <w:t>3</w:t>
        </w:r>
        <w:r>
          <w:fldChar w:fldCharType="end"/>
        </w:r>
      </w:p>
    </w:sdtContent>
  </w:sdt>
  <w:p w14:paraId="18B93EB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7"/>
    <w:rsid w:val="00000760"/>
    <w:rsid w:val="00017330"/>
    <w:rsid w:val="00020FEE"/>
    <w:rsid w:val="00021249"/>
    <w:rsid w:val="000217CC"/>
    <w:rsid w:val="0002650B"/>
    <w:rsid w:val="00031BA3"/>
    <w:rsid w:val="000342E6"/>
    <w:rsid w:val="00036C31"/>
    <w:rsid w:val="00040B0B"/>
    <w:rsid w:val="00047460"/>
    <w:rsid w:val="000534FF"/>
    <w:rsid w:val="0005646B"/>
    <w:rsid w:val="0005684D"/>
    <w:rsid w:val="000570DC"/>
    <w:rsid w:val="00067C77"/>
    <w:rsid w:val="00071393"/>
    <w:rsid w:val="000850E0"/>
    <w:rsid w:val="00090D31"/>
    <w:rsid w:val="0009135D"/>
    <w:rsid w:val="00096403"/>
    <w:rsid w:val="000B1696"/>
    <w:rsid w:val="000B616A"/>
    <w:rsid w:val="000B6D71"/>
    <w:rsid w:val="000C0420"/>
    <w:rsid w:val="000C19BA"/>
    <w:rsid w:val="000C4C0C"/>
    <w:rsid w:val="000C52C5"/>
    <w:rsid w:val="000D4F18"/>
    <w:rsid w:val="000D6EEC"/>
    <w:rsid w:val="000E016E"/>
    <w:rsid w:val="000E03EE"/>
    <w:rsid w:val="000E1BDC"/>
    <w:rsid w:val="000E41FD"/>
    <w:rsid w:val="000E46D1"/>
    <w:rsid w:val="000F0620"/>
    <w:rsid w:val="000F2663"/>
    <w:rsid w:val="000F3C01"/>
    <w:rsid w:val="00101B6B"/>
    <w:rsid w:val="00101E58"/>
    <w:rsid w:val="001038FD"/>
    <w:rsid w:val="001049D8"/>
    <w:rsid w:val="00106D64"/>
    <w:rsid w:val="001224BC"/>
    <w:rsid w:val="00130FB3"/>
    <w:rsid w:val="00133DB5"/>
    <w:rsid w:val="00151D20"/>
    <w:rsid w:val="00157EA2"/>
    <w:rsid w:val="0016222E"/>
    <w:rsid w:val="001641E0"/>
    <w:rsid w:val="00172591"/>
    <w:rsid w:val="001877B1"/>
    <w:rsid w:val="001C19F3"/>
    <w:rsid w:val="001D0D0B"/>
    <w:rsid w:val="001E3FA8"/>
    <w:rsid w:val="001E4AF9"/>
    <w:rsid w:val="001F4C14"/>
    <w:rsid w:val="0020392E"/>
    <w:rsid w:val="00204EEF"/>
    <w:rsid w:val="00215B8A"/>
    <w:rsid w:val="002339BD"/>
    <w:rsid w:val="002350AC"/>
    <w:rsid w:val="00236C10"/>
    <w:rsid w:val="00253294"/>
    <w:rsid w:val="0026345A"/>
    <w:rsid w:val="00264E51"/>
    <w:rsid w:val="00267812"/>
    <w:rsid w:val="0029551D"/>
    <w:rsid w:val="00296064"/>
    <w:rsid w:val="00297CCB"/>
    <w:rsid w:val="002A6FA0"/>
    <w:rsid w:val="002B4E1F"/>
    <w:rsid w:val="002C1BE8"/>
    <w:rsid w:val="002C296A"/>
    <w:rsid w:val="002C5F88"/>
    <w:rsid w:val="002D0E08"/>
    <w:rsid w:val="002D4FC2"/>
    <w:rsid w:val="002F2C8D"/>
    <w:rsid w:val="002F2D8C"/>
    <w:rsid w:val="002F4F0B"/>
    <w:rsid w:val="0030167B"/>
    <w:rsid w:val="00310141"/>
    <w:rsid w:val="003129D3"/>
    <w:rsid w:val="00320369"/>
    <w:rsid w:val="00322DBA"/>
    <w:rsid w:val="00340453"/>
    <w:rsid w:val="003426EA"/>
    <w:rsid w:val="0034598B"/>
    <w:rsid w:val="003464F5"/>
    <w:rsid w:val="00347C77"/>
    <w:rsid w:val="00352BCB"/>
    <w:rsid w:val="00357937"/>
    <w:rsid w:val="00362520"/>
    <w:rsid w:val="00376505"/>
    <w:rsid w:val="00376B2F"/>
    <w:rsid w:val="00381E11"/>
    <w:rsid w:val="00385F13"/>
    <w:rsid w:val="00392FE0"/>
    <w:rsid w:val="003A53BB"/>
    <w:rsid w:val="003B0604"/>
    <w:rsid w:val="003B11B2"/>
    <w:rsid w:val="003B11C4"/>
    <w:rsid w:val="003B5EA6"/>
    <w:rsid w:val="003B6D9E"/>
    <w:rsid w:val="003B6F32"/>
    <w:rsid w:val="003C3E62"/>
    <w:rsid w:val="003C5681"/>
    <w:rsid w:val="003D0493"/>
    <w:rsid w:val="003D3AF0"/>
    <w:rsid w:val="003D6140"/>
    <w:rsid w:val="003D715F"/>
    <w:rsid w:val="003F0D3D"/>
    <w:rsid w:val="003F1393"/>
    <w:rsid w:val="003F5E71"/>
    <w:rsid w:val="003F7368"/>
    <w:rsid w:val="003F7511"/>
    <w:rsid w:val="0040048E"/>
    <w:rsid w:val="004026EF"/>
    <w:rsid w:val="00404B8E"/>
    <w:rsid w:val="00404D87"/>
    <w:rsid w:val="00406DCD"/>
    <w:rsid w:val="004146FA"/>
    <w:rsid w:val="0042526C"/>
    <w:rsid w:val="0042585F"/>
    <w:rsid w:val="00427880"/>
    <w:rsid w:val="0043137E"/>
    <w:rsid w:val="00431EDB"/>
    <w:rsid w:val="00436CAC"/>
    <w:rsid w:val="00436D53"/>
    <w:rsid w:val="00450949"/>
    <w:rsid w:val="00451231"/>
    <w:rsid w:val="00455715"/>
    <w:rsid w:val="004641D2"/>
    <w:rsid w:val="00465195"/>
    <w:rsid w:val="0046708E"/>
    <w:rsid w:val="00474BFE"/>
    <w:rsid w:val="004758C4"/>
    <w:rsid w:val="00476BD9"/>
    <w:rsid w:val="004820FB"/>
    <w:rsid w:val="004845FF"/>
    <w:rsid w:val="004951B3"/>
    <w:rsid w:val="004952AC"/>
    <w:rsid w:val="00496355"/>
    <w:rsid w:val="004B1627"/>
    <w:rsid w:val="004B1C85"/>
    <w:rsid w:val="004B3739"/>
    <w:rsid w:val="004C12E4"/>
    <w:rsid w:val="004C666E"/>
    <w:rsid w:val="004D5D8B"/>
    <w:rsid w:val="004F0042"/>
    <w:rsid w:val="004F7080"/>
    <w:rsid w:val="005006EF"/>
    <w:rsid w:val="0050072E"/>
    <w:rsid w:val="0050512C"/>
    <w:rsid w:val="0050536A"/>
    <w:rsid w:val="005107BE"/>
    <w:rsid w:val="005307C1"/>
    <w:rsid w:val="00532060"/>
    <w:rsid w:val="00534EC7"/>
    <w:rsid w:val="00556A58"/>
    <w:rsid w:val="00563A78"/>
    <w:rsid w:val="005652E9"/>
    <w:rsid w:val="005675B4"/>
    <w:rsid w:val="00570820"/>
    <w:rsid w:val="00585797"/>
    <w:rsid w:val="00590E90"/>
    <w:rsid w:val="00591585"/>
    <w:rsid w:val="00593BFF"/>
    <w:rsid w:val="00594F2B"/>
    <w:rsid w:val="00595098"/>
    <w:rsid w:val="005B5E8B"/>
    <w:rsid w:val="005B60A9"/>
    <w:rsid w:val="005B71F1"/>
    <w:rsid w:val="005C3518"/>
    <w:rsid w:val="005C7B9D"/>
    <w:rsid w:val="005D5F2D"/>
    <w:rsid w:val="005D6FA2"/>
    <w:rsid w:val="005E4E09"/>
    <w:rsid w:val="005F15A9"/>
    <w:rsid w:val="005F229B"/>
    <w:rsid w:val="0060389B"/>
    <w:rsid w:val="00612FEE"/>
    <w:rsid w:val="00614381"/>
    <w:rsid w:val="00626F4A"/>
    <w:rsid w:val="006317A3"/>
    <w:rsid w:val="00640553"/>
    <w:rsid w:val="00643070"/>
    <w:rsid w:val="0064406A"/>
    <w:rsid w:val="006444E7"/>
    <w:rsid w:val="00651303"/>
    <w:rsid w:val="006529B5"/>
    <w:rsid w:val="00653185"/>
    <w:rsid w:val="00655CFE"/>
    <w:rsid w:val="00664B9B"/>
    <w:rsid w:val="006701A6"/>
    <w:rsid w:val="00672FE9"/>
    <w:rsid w:val="00681B40"/>
    <w:rsid w:val="0068649B"/>
    <w:rsid w:val="00695107"/>
    <w:rsid w:val="00696AAE"/>
    <w:rsid w:val="00697323"/>
    <w:rsid w:val="0069776F"/>
    <w:rsid w:val="00697FFD"/>
    <w:rsid w:val="006B4337"/>
    <w:rsid w:val="006B78C9"/>
    <w:rsid w:val="006B7EA5"/>
    <w:rsid w:val="006C7D25"/>
    <w:rsid w:val="006D3B78"/>
    <w:rsid w:val="006D5C12"/>
    <w:rsid w:val="006E09CB"/>
    <w:rsid w:val="006E359C"/>
    <w:rsid w:val="006F6D59"/>
    <w:rsid w:val="00700F95"/>
    <w:rsid w:val="00701E0D"/>
    <w:rsid w:val="00714657"/>
    <w:rsid w:val="00717CD8"/>
    <w:rsid w:val="007229E7"/>
    <w:rsid w:val="007259C2"/>
    <w:rsid w:val="00734314"/>
    <w:rsid w:val="00736E19"/>
    <w:rsid w:val="0074205A"/>
    <w:rsid w:val="007423AC"/>
    <w:rsid w:val="007459B0"/>
    <w:rsid w:val="00745D47"/>
    <w:rsid w:val="00751CCA"/>
    <w:rsid w:val="00756FD4"/>
    <w:rsid w:val="00760F70"/>
    <w:rsid w:val="00760F78"/>
    <w:rsid w:val="00764C7B"/>
    <w:rsid w:val="00772232"/>
    <w:rsid w:val="007767AC"/>
    <w:rsid w:val="00782B9A"/>
    <w:rsid w:val="007870FF"/>
    <w:rsid w:val="00794F7B"/>
    <w:rsid w:val="007954EA"/>
    <w:rsid w:val="007A438D"/>
    <w:rsid w:val="007A51E5"/>
    <w:rsid w:val="007A56FB"/>
    <w:rsid w:val="007B1D0B"/>
    <w:rsid w:val="007B444F"/>
    <w:rsid w:val="007C4E45"/>
    <w:rsid w:val="007D134E"/>
    <w:rsid w:val="007D2DDF"/>
    <w:rsid w:val="007D7159"/>
    <w:rsid w:val="007E6063"/>
    <w:rsid w:val="007E7E36"/>
    <w:rsid w:val="00801341"/>
    <w:rsid w:val="00803137"/>
    <w:rsid w:val="008101D5"/>
    <w:rsid w:val="008144B3"/>
    <w:rsid w:val="00814D71"/>
    <w:rsid w:val="00814EE5"/>
    <w:rsid w:val="008322D0"/>
    <w:rsid w:val="00832EA1"/>
    <w:rsid w:val="00834BC5"/>
    <w:rsid w:val="00837906"/>
    <w:rsid w:val="008445DE"/>
    <w:rsid w:val="00855980"/>
    <w:rsid w:val="00856D91"/>
    <w:rsid w:val="00857664"/>
    <w:rsid w:val="008729B5"/>
    <w:rsid w:val="0087479E"/>
    <w:rsid w:val="00877228"/>
    <w:rsid w:val="008840A3"/>
    <w:rsid w:val="00884AD7"/>
    <w:rsid w:val="00886A5F"/>
    <w:rsid w:val="00886B43"/>
    <w:rsid w:val="00893217"/>
    <w:rsid w:val="008963C2"/>
    <w:rsid w:val="00897A6D"/>
    <w:rsid w:val="008A0338"/>
    <w:rsid w:val="008A635E"/>
    <w:rsid w:val="008A6560"/>
    <w:rsid w:val="008B10A2"/>
    <w:rsid w:val="008B5311"/>
    <w:rsid w:val="008C2201"/>
    <w:rsid w:val="008C2CD5"/>
    <w:rsid w:val="008D0241"/>
    <w:rsid w:val="008D2AF4"/>
    <w:rsid w:val="008D61B4"/>
    <w:rsid w:val="008E25B5"/>
    <w:rsid w:val="008F2FA9"/>
    <w:rsid w:val="008F5B4F"/>
    <w:rsid w:val="008F5B7A"/>
    <w:rsid w:val="00901730"/>
    <w:rsid w:val="00910595"/>
    <w:rsid w:val="009211B2"/>
    <w:rsid w:val="0092649C"/>
    <w:rsid w:val="00934F6B"/>
    <w:rsid w:val="009446A2"/>
    <w:rsid w:val="00961296"/>
    <w:rsid w:val="00967C4A"/>
    <w:rsid w:val="009721D7"/>
    <w:rsid w:val="009748A9"/>
    <w:rsid w:val="00975E41"/>
    <w:rsid w:val="00982812"/>
    <w:rsid w:val="00986B61"/>
    <w:rsid w:val="009875A5"/>
    <w:rsid w:val="009A1142"/>
    <w:rsid w:val="009A46B3"/>
    <w:rsid w:val="009A7A77"/>
    <w:rsid w:val="009B0CE4"/>
    <w:rsid w:val="009B2449"/>
    <w:rsid w:val="009B3750"/>
    <w:rsid w:val="009B5F9C"/>
    <w:rsid w:val="009C0979"/>
    <w:rsid w:val="009C76A0"/>
    <w:rsid w:val="009C7949"/>
    <w:rsid w:val="009D090F"/>
    <w:rsid w:val="009D4ABA"/>
    <w:rsid w:val="009D50AC"/>
    <w:rsid w:val="009D7FF0"/>
    <w:rsid w:val="009F3620"/>
    <w:rsid w:val="009F442A"/>
    <w:rsid w:val="00A02E45"/>
    <w:rsid w:val="00A10272"/>
    <w:rsid w:val="00A10B2E"/>
    <w:rsid w:val="00A20B7D"/>
    <w:rsid w:val="00A32446"/>
    <w:rsid w:val="00A3486A"/>
    <w:rsid w:val="00A40573"/>
    <w:rsid w:val="00A462D8"/>
    <w:rsid w:val="00A5453E"/>
    <w:rsid w:val="00A71A0C"/>
    <w:rsid w:val="00A80829"/>
    <w:rsid w:val="00A92284"/>
    <w:rsid w:val="00AB489B"/>
    <w:rsid w:val="00AB49E7"/>
    <w:rsid w:val="00AB4F12"/>
    <w:rsid w:val="00AB70B2"/>
    <w:rsid w:val="00AC1EFF"/>
    <w:rsid w:val="00AC5C1A"/>
    <w:rsid w:val="00AC6D19"/>
    <w:rsid w:val="00AD1147"/>
    <w:rsid w:val="00AD47A5"/>
    <w:rsid w:val="00AF4B2E"/>
    <w:rsid w:val="00AF6CF6"/>
    <w:rsid w:val="00AF7AEF"/>
    <w:rsid w:val="00B04AC2"/>
    <w:rsid w:val="00B167A3"/>
    <w:rsid w:val="00B23C25"/>
    <w:rsid w:val="00B273EB"/>
    <w:rsid w:val="00B27F9A"/>
    <w:rsid w:val="00B618D8"/>
    <w:rsid w:val="00B6326B"/>
    <w:rsid w:val="00B63438"/>
    <w:rsid w:val="00B66AE9"/>
    <w:rsid w:val="00B740F3"/>
    <w:rsid w:val="00B756AB"/>
    <w:rsid w:val="00B76EE9"/>
    <w:rsid w:val="00B7749C"/>
    <w:rsid w:val="00B80FCD"/>
    <w:rsid w:val="00B81737"/>
    <w:rsid w:val="00B9363C"/>
    <w:rsid w:val="00BB0971"/>
    <w:rsid w:val="00BB28BF"/>
    <w:rsid w:val="00BC2613"/>
    <w:rsid w:val="00BC276E"/>
    <w:rsid w:val="00BC46B8"/>
    <w:rsid w:val="00BD0D22"/>
    <w:rsid w:val="00BD429E"/>
    <w:rsid w:val="00BD5C43"/>
    <w:rsid w:val="00BE4DEC"/>
    <w:rsid w:val="00BE5C1B"/>
    <w:rsid w:val="00BE79CF"/>
    <w:rsid w:val="00BF25FB"/>
    <w:rsid w:val="00C0464A"/>
    <w:rsid w:val="00C312C2"/>
    <w:rsid w:val="00C369ED"/>
    <w:rsid w:val="00C44FE4"/>
    <w:rsid w:val="00C52216"/>
    <w:rsid w:val="00C536CA"/>
    <w:rsid w:val="00C5504D"/>
    <w:rsid w:val="00C57BD2"/>
    <w:rsid w:val="00C608F8"/>
    <w:rsid w:val="00C6201B"/>
    <w:rsid w:val="00C72FDC"/>
    <w:rsid w:val="00C826B3"/>
    <w:rsid w:val="00C84FE7"/>
    <w:rsid w:val="00C925D1"/>
    <w:rsid w:val="00C958AE"/>
    <w:rsid w:val="00CA2592"/>
    <w:rsid w:val="00CA4537"/>
    <w:rsid w:val="00CA7701"/>
    <w:rsid w:val="00CB0A79"/>
    <w:rsid w:val="00CB38AE"/>
    <w:rsid w:val="00CB54C8"/>
    <w:rsid w:val="00CB7E82"/>
    <w:rsid w:val="00CC15A6"/>
    <w:rsid w:val="00CC1F6B"/>
    <w:rsid w:val="00CD0875"/>
    <w:rsid w:val="00CD7725"/>
    <w:rsid w:val="00CE547C"/>
    <w:rsid w:val="00CE6C8E"/>
    <w:rsid w:val="00CF24AA"/>
    <w:rsid w:val="00D045BD"/>
    <w:rsid w:val="00D06009"/>
    <w:rsid w:val="00D104FA"/>
    <w:rsid w:val="00D15ABE"/>
    <w:rsid w:val="00D308CB"/>
    <w:rsid w:val="00D33C3B"/>
    <w:rsid w:val="00D342D7"/>
    <w:rsid w:val="00D42D1A"/>
    <w:rsid w:val="00D55C69"/>
    <w:rsid w:val="00D5720F"/>
    <w:rsid w:val="00D666E2"/>
    <w:rsid w:val="00D84A00"/>
    <w:rsid w:val="00D95328"/>
    <w:rsid w:val="00D95DD7"/>
    <w:rsid w:val="00DA3C38"/>
    <w:rsid w:val="00DC01D3"/>
    <w:rsid w:val="00DC0D0B"/>
    <w:rsid w:val="00DC16DA"/>
    <w:rsid w:val="00DC3FD9"/>
    <w:rsid w:val="00DC4EF4"/>
    <w:rsid w:val="00DC5F9E"/>
    <w:rsid w:val="00DD5EED"/>
    <w:rsid w:val="00DD5F05"/>
    <w:rsid w:val="00DE1C1C"/>
    <w:rsid w:val="00DE3C2E"/>
    <w:rsid w:val="00DE5254"/>
    <w:rsid w:val="00DF669F"/>
    <w:rsid w:val="00E008AE"/>
    <w:rsid w:val="00E00D04"/>
    <w:rsid w:val="00E16149"/>
    <w:rsid w:val="00E248ED"/>
    <w:rsid w:val="00E4008F"/>
    <w:rsid w:val="00E42879"/>
    <w:rsid w:val="00E50B1C"/>
    <w:rsid w:val="00E515B4"/>
    <w:rsid w:val="00E51622"/>
    <w:rsid w:val="00E6640E"/>
    <w:rsid w:val="00E67637"/>
    <w:rsid w:val="00E67E6E"/>
    <w:rsid w:val="00E72347"/>
    <w:rsid w:val="00E73609"/>
    <w:rsid w:val="00E80253"/>
    <w:rsid w:val="00E86811"/>
    <w:rsid w:val="00E920B5"/>
    <w:rsid w:val="00E93B15"/>
    <w:rsid w:val="00EA47AD"/>
    <w:rsid w:val="00EB0F3A"/>
    <w:rsid w:val="00EB2B16"/>
    <w:rsid w:val="00EB5CDF"/>
    <w:rsid w:val="00EB6DC9"/>
    <w:rsid w:val="00EC3950"/>
    <w:rsid w:val="00EE681B"/>
    <w:rsid w:val="00EF49F9"/>
    <w:rsid w:val="00EF62A3"/>
    <w:rsid w:val="00EF7485"/>
    <w:rsid w:val="00F0499A"/>
    <w:rsid w:val="00F17B51"/>
    <w:rsid w:val="00F207DB"/>
    <w:rsid w:val="00F225F9"/>
    <w:rsid w:val="00F22C14"/>
    <w:rsid w:val="00F257CF"/>
    <w:rsid w:val="00F4097F"/>
    <w:rsid w:val="00F40C20"/>
    <w:rsid w:val="00F42A7B"/>
    <w:rsid w:val="00F51431"/>
    <w:rsid w:val="00F57F21"/>
    <w:rsid w:val="00F60335"/>
    <w:rsid w:val="00F61C39"/>
    <w:rsid w:val="00F63D93"/>
    <w:rsid w:val="00F706BB"/>
    <w:rsid w:val="00F70E42"/>
    <w:rsid w:val="00F71CF3"/>
    <w:rsid w:val="00F7681B"/>
    <w:rsid w:val="00F85252"/>
    <w:rsid w:val="00F85C28"/>
    <w:rsid w:val="00F93A6F"/>
    <w:rsid w:val="00F970A4"/>
    <w:rsid w:val="00F97CC5"/>
    <w:rsid w:val="00FA063F"/>
    <w:rsid w:val="00FB0856"/>
    <w:rsid w:val="00FB4B4C"/>
    <w:rsid w:val="00FB50E6"/>
    <w:rsid w:val="00FD3711"/>
    <w:rsid w:val="00FE0070"/>
    <w:rsid w:val="00FE28FB"/>
    <w:rsid w:val="00FE66FE"/>
    <w:rsid w:val="00FF078A"/>
    <w:rsid w:val="00FF3743"/>
    <w:rsid w:val="00FF525C"/>
    <w:rsid w:val="13B00EEA"/>
    <w:rsid w:val="1B20479F"/>
    <w:rsid w:val="1EE935FD"/>
    <w:rsid w:val="20852E30"/>
    <w:rsid w:val="248442A2"/>
    <w:rsid w:val="46820E34"/>
    <w:rsid w:val="4BBD059B"/>
    <w:rsid w:val="4E5F5456"/>
    <w:rsid w:val="4F381B84"/>
    <w:rsid w:val="56B643B6"/>
    <w:rsid w:val="627977F7"/>
    <w:rsid w:val="63901B74"/>
    <w:rsid w:val="69FF655F"/>
    <w:rsid w:val="729B44FA"/>
    <w:rsid w:val="77F42EED"/>
    <w:rsid w:val="7CF83C70"/>
    <w:rsid w:val="7DEE0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rPr>
      <w:szCs w:val="24"/>
    </w:rPr>
  </w:style>
  <w:style w:type="paragraph" w:styleId="3">
    <w:name w:val="Balloon Text"/>
    <w:basedOn w:val="1"/>
    <w:link w:val="17"/>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paragraph" w:styleId="7">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annotation subject"/>
    <w:basedOn w:val="2"/>
    <w:next w:val="2"/>
    <w:link w:val="18"/>
    <w:semiHidden/>
    <w:unhideWhenUsed/>
    <w:qFormat/>
    <w:uiPriority w:val="99"/>
    <w:rPr>
      <w:b/>
      <w:bCs/>
      <w:szCs w:val="20"/>
    </w:rPr>
  </w:style>
  <w:style w:type="character" w:styleId="11">
    <w:name w:val="Strong"/>
    <w:basedOn w:val="10"/>
    <w:qFormat/>
    <w:uiPriority w:val="22"/>
    <w:rPr>
      <w:b/>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character" w:customStyle="1" w:styleId="16">
    <w:name w:val="批注文字 字符"/>
    <w:basedOn w:val="10"/>
    <w:link w:val="2"/>
    <w:semiHidden/>
    <w:qFormat/>
    <w:uiPriority w:val="99"/>
    <w:rPr>
      <w:rFonts w:ascii="Times New Roman" w:hAnsi="Times New Roman" w:eastAsia="宋体" w:cs="Times New Roman"/>
      <w:szCs w:val="24"/>
    </w:rPr>
  </w:style>
  <w:style w:type="character" w:customStyle="1" w:styleId="17">
    <w:name w:val="批注框文本 字符"/>
    <w:basedOn w:val="10"/>
    <w:link w:val="3"/>
    <w:semiHidden/>
    <w:qFormat/>
    <w:uiPriority w:val="99"/>
    <w:rPr>
      <w:rFonts w:ascii="Times New Roman" w:hAnsi="Times New Roman" w:eastAsia="宋体" w:cs="Times New Roman"/>
      <w:sz w:val="18"/>
      <w:szCs w:val="18"/>
    </w:rPr>
  </w:style>
  <w:style w:type="character" w:customStyle="1" w:styleId="18">
    <w:name w:val="批注主题 字符"/>
    <w:basedOn w:val="16"/>
    <w:link w:val="8"/>
    <w:semiHidden/>
    <w:qFormat/>
    <w:uiPriority w:val="99"/>
    <w:rPr>
      <w:rFonts w:ascii="Times New Roman" w:hAnsi="Times New Roman" w:eastAsia="宋体" w:cs="Times New Roman"/>
      <w:b/>
      <w:bCs/>
      <w:szCs w:val="20"/>
    </w:rPr>
  </w:style>
  <w:style w:type="character" w:customStyle="1" w:styleId="19">
    <w:name w:val="ng-binding"/>
    <w:basedOn w:val="10"/>
    <w:qFormat/>
    <w:uiPriority w:val="0"/>
  </w:style>
  <w:style w:type="paragraph" w:styleId="20">
    <w:name w:val="List Paragraph"/>
    <w:basedOn w:val="1"/>
    <w:qFormat/>
    <w:uiPriority w:val="34"/>
    <w:pPr>
      <w:ind w:firstLine="420" w:firstLineChars="200"/>
    </w:pPr>
  </w:style>
  <w:style w:type="paragraph" w:customStyle="1" w:styleId="21">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827DC-EA26-4EAA-8882-A01B9C6A816A}">
  <ds:schemaRefs/>
</ds:datastoreItem>
</file>

<file path=customXml/itemProps2.xml><?xml version="1.0" encoding="utf-8"?>
<ds:datastoreItem xmlns:ds="http://schemas.openxmlformats.org/officeDocument/2006/customXml" ds:itemID="{F6BFC278-BEBC-42A5-B820-CCD868AC3039}">
  <ds:schemaRefs/>
</ds:datastoreItem>
</file>

<file path=customXml/itemProps3.xml><?xml version="1.0" encoding="utf-8"?>
<ds:datastoreItem xmlns:ds="http://schemas.openxmlformats.org/officeDocument/2006/customXml" ds:itemID="{4898DF68-7BEF-4E9F-A3FC-08FE69096638}">
  <ds:schemaRefs/>
</ds:datastoreItem>
</file>

<file path=customXml/itemProps4.xml><?xml version="1.0" encoding="utf-8"?>
<ds:datastoreItem xmlns:ds="http://schemas.openxmlformats.org/officeDocument/2006/customXml" ds:itemID="{52174B81-72C2-4AC1-A680-DCC53D19F431}">
  <ds:schemaRefs/>
</ds:datastoreItem>
</file>

<file path=docProps/app.xml><?xml version="1.0" encoding="utf-8"?>
<Properties xmlns="http://schemas.openxmlformats.org/officeDocument/2006/extended-properties" xmlns:vt="http://schemas.openxmlformats.org/officeDocument/2006/docPropsVTypes">
  <Template>Normal</Template>
  <Pages>3</Pages>
  <Words>1333</Words>
  <Characters>1390</Characters>
  <Lines>13</Lines>
  <Paragraphs>3</Paragraphs>
  <TotalTime>1</TotalTime>
  <ScaleCrop>false</ScaleCrop>
  <LinksUpToDate>false</LinksUpToDate>
  <CharactersWithSpaces>1522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2021-06-01T10:38:00Z</dcterms:created>
  <dc:creator>Admin</dc:creator>
  <cp:lastModifiedBy>涂梦琦</cp:lastModifiedBy>
  <dcterms:modified xsi:type="dcterms:W3CDTF">2026-05-20T07:02:30Z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TemplateDocerSaveRecord">
    <vt:lpwstr>eyJoZGlkIjoiZDY3OGQxZTNjYzM1M2EwZDlhOGM2MzE5ZjI2MTZjYmEiLCJ1c2VySWQiOiIyMjEzMjQ3MDUifQ==</vt:lpwstr>
  </property>
  <property fmtid="{D5CDD505-2E9C-101B-9397-08002B2CF9AE}" pid="4" name="KSOProductBuildVer">
    <vt:lpwstr>2052-12.1.0.26375</vt:lpwstr>
  </property>
  <property fmtid="{D5CDD505-2E9C-101B-9397-08002B2CF9AE}" pid="5" name="ICV">
    <vt:lpwstr>F5A938D67F40491CB5721CEF11A03C7F_12</vt:lpwstr>
  </property>
</Properties>
</file>