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2D20">
      <w:pPr>
        <w:widowControl/>
        <w:spacing w:before="156" w:after="156" w:line="400" w:lineRule="atLeast"/>
        <w:rPr>
          <w:rFonts w:ascii="宋体" w:cs="宋体"/>
          <w:b/>
          <w:kern w:val="0"/>
          <w:sz w:val="24"/>
          <w:szCs w:val="28"/>
        </w:rPr>
      </w:pPr>
      <w:r>
        <w:rPr>
          <w:rFonts w:hint="eastAsia" w:ascii="宋体" w:hAnsi="宋体" w:cs="宋体"/>
          <w:b/>
          <w:kern w:val="0"/>
          <w:sz w:val="24"/>
          <w:szCs w:val="28"/>
        </w:rPr>
        <w:t>证券代码：</w:t>
      </w:r>
      <w:r>
        <w:rPr>
          <w:rFonts w:ascii="Times New Roman" w:hAnsi="Times New Roman"/>
          <w:b/>
          <w:kern w:val="0"/>
          <w:sz w:val="24"/>
          <w:szCs w:val="28"/>
        </w:rPr>
        <w:t>603389</w:t>
      </w:r>
      <w:r>
        <w:rPr>
          <w:rFonts w:hint="eastAsia" w:ascii="宋体" w:hAnsi="宋体" w:cs="宋体"/>
          <w:b/>
          <w:kern w:val="0"/>
          <w:sz w:val="24"/>
          <w:szCs w:val="28"/>
        </w:rPr>
        <w:t xml:space="preserve">                                  证券简称：</w:t>
      </w:r>
      <w:r>
        <w:rPr>
          <w:rFonts w:ascii="Times New Roman" w:hAnsi="Times New Roman"/>
          <w:b/>
          <w:kern w:val="0"/>
          <w:sz w:val="24"/>
          <w:szCs w:val="28"/>
        </w:rPr>
        <w:t>*ST亚</w:t>
      </w:r>
      <w:r>
        <w:rPr>
          <w:rFonts w:hint="eastAsia" w:ascii="宋体" w:hAnsi="宋体" w:cs="宋体"/>
          <w:b/>
          <w:kern w:val="0"/>
          <w:sz w:val="24"/>
          <w:szCs w:val="28"/>
        </w:rPr>
        <w:t>振</w:t>
      </w:r>
    </w:p>
    <w:p w14:paraId="34D4AED0">
      <w:pPr>
        <w:widowControl/>
        <w:jc w:val="center"/>
        <w:rPr>
          <w:rFonts w:ascii="宋体" w:hAnsi="宋体" w:cs="宋体"/>
          <w:b/>
          <w:bCs/>
          <w:color w:val="FF0000"/>
          <w:kern w:val="0"/>
          <w:sz w:val="36"/>
          <w:szCs w:val="36"/>
        </w:rPr>
      </w:pPr>
      <w:r>
        <w:rPr>
          <w:rFonts w:hint="eastAsia" w:ascii="宋体" w:hAnsi="宋体" w:cs="宋体"/>
          <w:b/>
          <w:bCs/>
          <w:color w:val="FF0000"/>
          <w:kern w:val="0"/>
          <w:sz w:val="36"/>
          <w:szCs w:val="36"/>
        </w:rPr>
        <w:t>亚振家居股份有限公司</w:t>
      </w:r>
    </w:p>
    <w:p w14:paraId="1AF133D7">
      <w:pPr>
        <w:widowControl/>
        <w:jc w:val="center"/>
        <w:rPr>
          <w:rFonts w:ascii="宋体" w:cs="宋体"/>
          <w:b/>
          <w:bCs/>
          <w:color w:val="FF0000"/>
          <w:kern w:val="0"/>
          <w:sz w:val="36"/>
          <w:szCs w:val="36"/>
        </w:rPr>
      </w:pPr>
      <w:r>
        <w:rPr>
          <w:rFonts w:hint="eastAsia" w:ascii="宋体" w:hAnsi="宋体" w:cs="宋体"/>
          <w:b/>
          <w:bCs/>
          <w:color w:val="FF0000"/>
          <w:kern w:val="0"/>
          <w:sz w:val="36"/>
          <w:szCs w:val="36"/>
        </w:rPr>
        <w:t>投资者关系活动记录表</w:t>
      </w:r>
    </w:p>
    <w:p w14:paraId="21A2CA61">
      <w:pPr>
        <w:widowControl/>
        <w:spacing w:after="156" w:afterLines="50" w:line="400" w:lineRule="atLeast"/>
        <w:rPr>
          <w:rFonts w:ascii="Times New Roman" w:hAnsi="Times New Roman"/>
          <w:kern w:val="0"/>
          <w:sz w:val="24"/>
        </w:rPr>
      </w:pPr>
    </w:p>
    <w:tbl>
      <w:tblPr>
        <w:tblStyle w:val="8"/>
        <w:tblW w:w="0" w:type="auto"/>
        <w:tblInd w:w="0" w:type="dxa"/>
        <w:tblLayout w:type="fixed"/>
        <w:tblCellMar>
          <w:top w:w="0" w:type="dxa"/>
          <w:left w:w="108" w:type="dxa"/>
          <w:bottom w:w="0" w:type="dxa"/>
          <w:right w:w="108" w:type="dxa"/>
        </w:tblCellMar>
      </w:tblPr>
      <w:tblGrid>
        <w:gridCol w:w="1951"/>
        <w:gridCol w:w="3285"/>
        <w:gridCol w:w="3286"/>
      </w:tblGrid>
      <w:tr w14:paraId="74E87008">
        <w:tblPrEx>
          <w:tblCellMar>
            <w:top w:w="0" w:type="dxa"/>
            <w:left w:w="108" w:type="dxa"/>
            <w:bottom w:w="0" w:type="dxa"/>
            <w:right w:w="108" w:type="dxa"/>
          </w:tblCellMar>
        </w:tblPrEx>
        <w:trPr>
          <w:trHeight w:val="374" w:hRule="atLeast"/>
        </w:trPr>
        <w:tc>
          <w:tcPr>
            <w:tcW w:w="1951" w:type="dxa"/>
            <w:vMerge w:val="restart"/>
            <w:tcBorders>
              <w:top w:val="single" w:color="000000" w:sz="4" w:space="0"/>
              <w:left w:val="single" w:color="000000" w:sz="4" w:space="0"/>
              <w:right w:val="single" w:color="000000" w:sz="4" w:space="0"/>
            </w:tcBorders>
            <w:vAlign w:val="center"/>
          </w:tcPr>
          <w:p w14:paraId="154F461A">
            <w:pPr>
              <w:widowControl/>
              <w:spacing w:line="360" w:lineRule="auto"/>
              <w:jc w:val="center"/>
              <w:rPr>
                <w:rFonts w:ascii="宋体" w:cs="宋体"/>
                <w:b/>
                <w:bCs/>
                <w:kern w:val="0"/>
                <w:sz w:val="24"/>
              </w:rPr>
            </w:pPr>
            <w:r>
              <w:rPr>
                <w:rFonts w:hint="eastAsia" w:ascii="宋体" w:hAnsi="宋体" w:cs="宋体"/>
                <w:b/>
                <w:bCs/>
                <w:kern w:val="0"/>
                <w:sz w:val="24"/>
              </w:rPr>
              <w:t>投资者关系活动类别</w:t>
            </w:r>
          </w:p>
        </w:tc>
        <w:tc>
          <w:tcPr>
            <w:tcW w:w="3285" w:type="dxa"/>
            <w:tcBorders>
              <w:top w:val="single" w:color="000000" w:sz="4" w:space="0"/>
              <w:left w:val="nil"/>
            </w:tcBorders>
            <w:vAlign w:val="center"/>
          </w:tcPr>
          <w:p w14:paraId="6786AC2B">
            <w:pPr>
              <w:widowControl/>
              <w:spacing w:before="156" w:beforeLines="50" w:line="360" w:lineRule="auto"/>
              <w:rPr>
                <w:rFonts w:ascii="宋体" w:cs="宋体"/>
                <w:kern w:val="0"/>
                <w:sz w:val="24"/>
                <w:szCs w:val="24"/>
              </w:rPr>
            </w:pPr>
            <w:r>
              <w:rPr>
                <w:rFonts w:hint="eastAsia" w:ascii="宋体" w:hAnsi="宋体" w:cs="宋体"/>
                <w:kern w:val="0"/>
                <w:sz w:val="24"/>
                <w:szCs w:val="24"/>
              </w:rPr>
              <w:t>□特定对象调研</w:t>
            </w:r>
          </w:p>
        </w:tc>
        <w:tc>
          <w:tcPr>
            <w:tcW w:w="3286" w:type="dxa"/>
            <w:tcBorders>
              <w:top w:val="single" w:color="000000" w:sz="4" w:space="0"/>
              <w:right w:val="single" w:color="000000" w:sz="4" w:space="0"/>
            </w:tcBorders>
            <w:vAlign w:val="center"/>
          </w:tcPr>
          <w:p w14:paraId="3F3B76E8">
            <w:pPr>
              <w:widowControl/>
              <w:spacing w:before="156" w:beforeLines="50" w:line="360" w:lineRule="auto"/>
              <w:rPr>
                <w:rFonts w:ascii="宋体" w:cs="宋体"/>
                <w:kern w:val="0"/>
                <w:sz w:val="24"/>
                <w:szCs w:val="24"/>
              </w:rPr>
            </w:pPr>
            <w:r>
              <w:rPr>
                <w:rFonts w:hint="eastAsia" w:ascii="宋体" w:hAnsi="宋体" w:cs="宋体"/>
                <w:kern w:val="0"/>
                <w:sz w:val="24"/>
                <w:szCs w:val="24"/>
              </w:rPr>
              <w:t>□分析师会议</w:t>
            </w:r>
          </w:p>
        </w:tc>
      </w:tr>
      <w:tr w14:paraId="0DD642DB">
        <w:tblPrEx>
          <w:tblCellMar>
            <w:top w:w="0" w:type="dxa"/>
            <w:left w:w="108" w:type="dxa"/>
            <w:bottom w:w="0" w:type="dxa"/>
            <w:right w:w="108" w:type="dxa"/>
          </w:tblCellMar>
        </w:tblPrEx>
        <w:trPr>
          <w:trHeight w:val="374" w:hRule="atLeast"/>
        </w:trPr>
        <w:tc>
          <w:tcPr>
            <w:tcW w:w="1951" w:type="dxa"/>
            <w:vMerge w:val="continue"/>
            <w:tcBorders>
              <w:left w:val="single" w:color="000000" w:sz="4" w:space="0"/>
              <w:right w:val="single" w:color="000000" w:sz="4" w:space="0"/>
            </w:tcBorders>
            <w:vAlign w:val="center"/>
          </w:tcPr>
          <w:p w14:paraId="6980515C">
            <w:pPr>
              <w:widowControl/>
              <w:jc w:val="center"/>
              <w:rPr>
                <w:rFonts w:ascii="宋体" w:hAnsi="宋体" w:cs="宋体"/>
                <w:b/>
                <w:bCs/>
                <w:kern w:val="0"/>
                <w:sz w:val="24"/>
              </w:rPr>
            </w:pPr>
          </w:p>
        </w:tc>
        <w:tc>
          <w:tcPr>
            <w:tcW w:w="3285" w:type="dxa"/>
            <w:tcBorders>
              <w:left w:val="nil"/>
            </w:tcBorders>
            <w:vAlign w:val="center"/>
          </w:tcPr>
          <w:p w14:paraId="2244CEA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□新闻发布会</w:t>
            </w:r>
          </w:p>
        </w:tc>
        <w:tc>
          <w:tcPr>
            <w:tcW w:w="3286" w:type="dxa"/>
            <w:tcBorders>
              <w:right w:val="single" w:color="000000" w:sz="4" w:space="0"/>
            </w:tcBorders>
            <w:vAlign w:val="center"/>
          </w:tcPr>
          <w:p w14:paraId="3D232DDF">
            <w:pPr>
              <w:widowControl/>
              <w:spacing w:before="156" w:beforeLines="50" w:line="360" w:lineRule="auto"/>
              <w:rPr>
                <w:rFonts w:ascii="宋体" w:hAnsi="宋体" w:cs="宋体"/>
                <w:kern w:val="0"/>
                <w:sz w:val="24"/>
                <w:szCs w:val="24"/>
              </w:rPr>
            </w:pPr>
            <w:r>
              <w:rPr>
                <w:rFonts w:ascii="Times New Roman" w:hAnsi="Times New Roman"/>
                <w:kern w:val="0"/>
                <w:sz w:val="24"/>
                <w:szCs w:val="24"/>
              </w:rPr>
              <w:sym w:font="Wingdings 2" w:char="F052"/>
            </w:r>
            <w:r>
              <w:rPr>
                <w:rFonts w:hint="eastAsia" w:ascii="宋体" w:hAnsi="宋体" w:cs="宋体"/>
                <w:kern w:val="0"/>
                <w:sz w:val="24"/>
                <w:szCs w:val="24"/>
              </w:rPr>
              <w:t>业绩说明会</w:t>
            </w:r>
          </w:p>
        </w:tc>
      </w:tr>
      <w:tr w14:paraId="5FEAD1D4">
        <w:tblPrEx>
          <w:tblCellMar>
            <w:top w:w="0" w:type="dxa"/>
            <w:left w:w="108" w:type="dxa"/>
            <w:bottom w:w="0" w:type="dxa"/>
            <w:right w:w="108" w:type="dxa"/>
          </w:tblCellMar>
        </w:tblPrEx>
        <w:trPr>
          <w:trHeight w:val="374" w:hRule="atLeast"/>
        </w:trPr>
        <w:tc>
          <w:tcPr>
            <w:tcW w:w="1951" w:type="dxa"/>
            <w:vMerge w:val="continue"/>
            <w:tcBorders>
              <w:left w:val="single" w:color="000000" w:sz="4" w:space="0"/>
              <w:right w:val="single" w:color="000000" w:sz="4" w:space="0"/>
            </w:tcBorders>
            <w:vAlign w:val="center"/>
          </w:tcPr>
          <w:p w14:paraId="085BF05C">
            <w:pPr>
              <w:widowControl/>
              <w:jc w:val="center"/>
              <w:rPr>
                <w:rFonts w:ascii="宋体" w:hAnsi="宋体" w:cs="宋体"/>
                <w:b/>
                <w:bCs/>
                <w:kern w:val="0"/>
                <w:sz w:val="24"/>
              </w:rPr>
            </w:pPr>
          </w:p>
        </w:tc>
        <w:tc>
          <w:tcPr>
            <w:tcW w:w="3285" w:type="dxa"/>
            <w:tcBorders>
              <w:left w:val="nil"/>
            </w:tcBorders>
            <w:vAlign w:val="center"/>
          </w:tcPr>
          <w:p w14:paraId="6DC9C453">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□媒体采访</w:t>
            </w:r>
          </w:p>
        </w:tc>
        <w:tc>
          <w:tcPr>
            <w:tcW w:w="3286" w:type="dxa"/>
            <w:tcBorders>
              <w:right w:val="single" w:color="000000" w:sz="4" w:space="0"/>
            </w:tcBorders>
            <w:vAlign w:val="center"/>
          </w:tcPr>
          <w:p w14:paraId="25D09402">
            <w:pPr>
              <w:widowControl/>
              <w:spacing w:before="156" w:beforeLines="50" w:line="360" w:lineRule="auto"/>
              <w:rPr>
                <w:rFonts w:ascii="宋体" w:cs="宋体"/>
                <w:kern w:val="0"/>
                <w:sz w:val="24"/>
                <w:szCs w:val="24"/>
              </w:rPr>
            </w:pPr>
            <w:r>
              <w:rPr>
                <w:rFonts w:hint="eastAsia" w:ascii="宋体" w:hAnsi="宋体" w:cs="宋体"/>
                <w:kern w:val="0"/>
                <w:sz w:val="24"/>
                <w:szCs w:val="24"/>
              </w:rPr>
              <w:t>□路演活动</w:t>
            </w:r>
          </w:p>
        </w:tc>
      </w:tr>
      <w:tr w14:paraId="275650C3">
        <w:tblPrEx>
          <w:tblCellMar>
            <w:top w:w="0" w:type="dxa"/>
            <w:left w:w="108" w:type="dxa"/>
            <w:bottom w:w="0" w:type="dxa"/>
            <w:right w:w="108" w:type="dxa"/>
          </w:tblCellMar>
        </w:tblPrEx>
        <w:trPr>
          <w:trHeight w:val="374" w:hRule="atLeast"/>
        </w:trPr>
        <w:tc>
          <w:tcPr>
            <w:tcW w:w="1951" w:type="dxa"/>
            <w:vMerge w:val="continue"/>
            <w:tcBorders>
              <w:left w:val="single" w:color="000000" w:sz="4" w:space="0"/>
              <w:bottom w:val="single" w:color="000000" w:sz="4" w:space="0"/>
              <w:right w:val="single" w:color="000000" w:sz="4" w:space="0"/>
            </w:tcBorders>
            <w:vAlign w:val="center"/>
          </w:tcPr>
          <w:p w14:paraId="07AFD05F">
            <w:pPr>
              <w:widowControl/>
              <w:jc w:val="center"/>
              <w:rPr>
                <w:rFonts w:ascii="宋体" w:hAnsi="宋体" w:cs="宋体"/>
                <w:b/>
                <w:bCs/>
                <w:kern w:val="0"/>
                <w:sz w:val="24"/>
              </w:rPr>
            </w:pPr>
          </w:p>
        </w:tc>
        <w:tc>
          <w:tcPr>
            <w:tcW w:w="3285" w:type="dxa"/>
            <w:tcBorders>
              <w:left w:val="nil"/>
              <w:bottom w:val="single" w:color="000000" w:sz="4" w:space="0"/>
            </w:tcBorders>
            <w:vAlign w:val="center"/>
          </w:tcPr>
          <w:p w14:paraId="0E612A1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□现场参观</w:t>
            </w:r>
            <w:r>
              <w:rPr>
                <w:rFonts w:ascii="宋体" w:cs="宋体"/>
                <w:kern w:val="0"/>
                <w:sz w:val="24"/>
                <w:szCs w:val="24"/>
              </w:rPr>
              <w:tab/>
            </w:r>
          </w:p>
        </w:tc>
        <w:tc>
          <w:tcPr>
            <w:tcW w:w="3286" w:type="dxa"/>
            <w:tcBorders>
              <w:bottom w:val="single" w:color="000000" w:sz="4" w:space="0"/>
              <w:right w:val="single" w:color="000000" w:sz="4" w:space="0"/>
            </w:tcBorders>
            <w:vAlign w:val="center"/>
          </w:tcPr>
          <w:p w14:paraId="55B899F2">
            <w:pPr>
              <w:widowControl/>
              <w:spacing w:before="156" w:beforeLines="50" w:line="360" w:lineRule="auto"/>
              <w:rPr>
                <w:rFonts w:ascii="宋体" w:hAnsi="宋体" w:cs="宋体"/>
                <w:kern w:val="0"/>
                <w:sz w:val="24"/>
                <w:szCs w:val="24"/>
              </w:rPr>
            </w:pPr>
            <w:r>
              <w:rPr>
                <w:rFonts w:hint="eastAsia" w:ascii="宋体" w:hAnsi="宋体" w:cs="宋体"/>
                <w:kern w:val="0"/>
                <w:sz w:val="24"/>
                <w:szCs w:val="24"/>
              </w:rPr>
              <w:t>□其他</w:t>
            </w:r>
            <w:r>
              <w:rPr>
                <w:rFonts w:hint="eastAsia" w:ascii="宋体" w:hAnsi="宋体" w:cs="宋体"/>
                <w:kern w:val="0"/>
                <w:sz w:val="24"/>
                <w:szCs w:val="24"/>
                <w:u w:val="single"/>
              </w:rPr>
              <w:t>______________</w:t>
            </w:r>
          </w:p>
        </w:tc>
      </w:tr>
      <w:tr w14:paraId="6828C524">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A12E012">
            <w:pPr>
              <w:widowControl/>
              <w:spacing w:before="156" w:beforeLines="50" w:line="360" w:lineRule="auto"/>
              <w:jc w:val="center"/>
              <w:rPr>
                <w:rFonts w:ascii="宋体" w:cs="宋体"/>
                <w:b/>
                <w:bCs/>
                <w:kern w:val="0"/>
                <w:sz w:val="24"/>
              </w:rPr>
            </w:pPr>
            <w:r>
              <w:rPr>
                <w:rFonts w:hint="eastAsia" w:ascii="宋体" w:hAnsi="宋体" w:cs="宋体"/>
                <w:b/>
                <w:bCs/>
                <w:kern w:val="0"/>
                <w:sz w:val="24"/>
              </w:rPr>
              <w:t>活动名称</w:t>
            </w:r>
          </w:p>
        </w:tc>
        <w:tc>
          <w:tcPr>
            <w:tcW w:w="6571" w:type="dxa"/>
            <w:gridSpan w:val="2"/>
            <w:tcBorders>
              <w:top w:val="single" w:color="000000" w:sz="4" w:space="0"/>
              <w:left w:val="nil"/>
              <w:bottom w:val="single" w:color="000000" w:sz="4" w:space="0"/>
              <w:right w:val="single" w:color="000000" w:sz="4" w:space="0"/>
            </w:tcBorders>
            <w:vAlign w:val="center"/>
          </w:tcPr>
          <w:p w14:paraId="0F017DF0">
            <w:pPr>
              <w:spacing w:before="156" w:beforeLines="50" w:line="360" w:lineRule="auto"/>
              <w:rPr>
                <w:sz w:val="24"/>
                <w:szCs w:val="24"/>
              </w:rPr>
            </w:pPr>
            <w:r>
              <w:rPr>
                <w:rFonts w:ascii="Times New Roman" w:hAnsi="Times New Roman"/>
                <w:sz w:val="24"/>
                <w:szCs w:val="24"/>
              </w:rPr>
              <w:t>*ST</w:t>
            </w:r>
            <w:r>
              <w:rPr>
                <w:rFonts w:hint="eastAsia"/>
                <w:sz w:val="24"/>
                <w:szCs w:val="24"/>
              </w:rPr>
              <w:t>亚振</w:t>
            </w:r>
            <w:r>
              <w:rPr>
                <w:rFonts w:ascii="Times New Roman" w:hAnsi="Times New Roman"/>
                <w:sz w:val="24"/>
                <w:szCs w:val="24"/>
              </w:rPr>
              <w:t>202</w:t>
            </w:r>
            <w:r>
              <w:rPr>
                <w:rFonts w:hint="eastAsia" w:ascii="Times New Roman" w:hAnsi="Times New Roman"/>
                <w:sz w:val="24"/>
                <w:szCs w:val="24"/>
                <w:lang w:val="en-US" w:eastAsia="zh-CN"/>
              </w:rPr>
              <w:t>5</w:t>
            </w:r>
            <w:r>
              <w:rPr>
                <w:rFonts w:hint="eastAsia"/>
                <w:sz w:val="24"/>
                <w:szCs w:val="24"/>
              </w:rPr>
              <w:t>年度暨</w:t>
            </w:r>
            <w:r>
              <w:rPr>
                <w:rFonts w:ascii="Times New Roman" w:hAnsi="Times New Roman"/>
                <w:sz w:val="24"/>
                <w:szCs w:val="24"/>
              </w:rPr>
              <w:t>202</w:t>
            </w:r>
            <w:r>
              <w:rPr>
                <w:rFonts w:hint="eastAsia" w:ascii="Times New Roman" w:hAnsi="Times New Roman"/>
                <w:sz w:val="24"/>
                <w:szCs w:val="24"/>
                <w:lang w:val="en-US" w:eastAsia="zh-CN"/>
              </w:rPr>
              <w:t>6</w:t>
            </w:r>
            <w:r>
              <w:rPr>
                <w:rFonts w:hint="eastAsia"/>
                <w:sz w:val="24"/>
                <w:szCs w:val="24"/>
              </w:rPr>
              <w:t>年第一季度业绩说明会</w:t>
            </w:r>
          </w:p>
        </w:tc>
      </w:tr>
      <w:tr w14:paraId="011A1797">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6F0F66A6">
            <w:pPr>
              <w:widowControl/>
              <w:spacing w:before="156" w:beforeLines="50" w:line="360" w:lineRule="auto"/>
              <w:jc w:val="center"/>
              <w:rPr>
                <w:rFonts w:ascii="宋体" w:cs="宋体"/>
                <w:b/>
                <w:bCs/>
                <w:kern w:val="0"/>
                <w:sz w:val="24"/>
              </w:rPr>
            </w:pPr>
            <w:r>
              <w:rPr>
                <w:rFonts w:hint="eastAsia" w:ascii="宋体" w:hAnsi="宋体" w:cs="宋体"/>
                <w:b/>
                <w:bCs/>
                <w:kern w:val="0"/>
                <w:sz w:val="24"/>
              </w:rPr>
              <w:t>时间</w:t>
            </w:r>
          </w:p>
        </w:tc>
        <w:tc>
          <w:tcPr>
            <w:tcW w:w="6571" w:type="dxa"/>
            <w:gridSpan w:val="2"/>
            <w:tcBorders>
              <w:top w:val="single" w:color="000000" w:sz="4" w:space="0"/>
              <w:left w:val="nil"/>
              <w:bottom w:val="single" w:color="000000" w:sz="4" w:space="0"/>
              <w:right w:val="single" w:color="000000" w:sz="4" w:space="0"/>
            </w:tcBorders>
            <w:vAlign w:val="center"/>
          </w:tcPr>
          <w:p w14:paraId="74040CDD">
            <w:pPr>
              <w:widowControl/>
              <w:spacing w:before="156" w:beforeLines="50" w:line="360" w:lineRule="auto"/>
              <w:rPr>
                <w:rFonts w:ascii="宋体" w:hAnsi="宋体"/>
                <w:sz w:val="24"/>
                <w:szCs w:val="24"/>
              </w:rPr>
            </w:pPr>
            <w:r>
              <w:rPr>
                <w:rFonts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rPr>
              <w:t>2</w:t>
            </w:r>
            <w:r>
              <w:rPr>
                <w:rFonts w:hint="eastAsia" w:ascii="Times New Roman" w:hAnsi="Times New Roman"/>
                <w:sz w:val="24"/>
                <w:szCs w:val="24"/>
                <w:lang w:val="en-US" w:eastAsia="zh-CN"/>
              </w:rPr>
              <w:t>0</w:t>
            </w:r>
            <w:r>
              <w:rPr>
                <w:rFonts w:hint="eastAsia" w:ascii="宋体" w:hAnsi="宋体"/>
                <w:sz w:val="24"/>
                <w:szCs w:val="24"/>
              </w:rPr>
              <w:t>日（星期</w:t>
            </w:r>
            <w:r>
              <w:rPr>
                <w:rFonts w:hint="eastAsia" w:ascii="宋体" w:hAnsi="宋体"/>
                <w:sz w:val="24"/>
                <w:szCs w:val="24"/>
                <w:lang w:val="en-US" w:eastAsia="zh-CN"/>
              </w:rPr>
              <w:t>三</w:t>
            </w:r>
            <w:r>
              <w:rPr>
                <w:rFonts w:hint="eastAsia" w:ascii="宋体" w:hAnsi="宋体"/>
                <w:sz w:val="24"/>
                <w:szCs w:val="24"/>
              </w:rPr>
              <w:t>）下午</w:t>
            </w:r>
            <w:r>
              <w:rPr>
                <w:rFonts w:ascii="Times New Roman" w:hAnsi="Times New Roman"/>
                <w:sz w:val="24"/>
                <w:szCs w:val="24"/>
              </w:rPr>
              <w:t>1</w:t>
            </w:r>
            <w:r>
              <w:rPr>
                <w:rFonts w:hint="eastAsia" w:ascii="Times New Roman" w:hAnsi="Times New Roman"/>
                <w:sz w:val="24"/>
                <w:szCs w:val="24"/>
                <w:lang w:val="en-US" w:eastAsia="zh-CN"/>
              </w:rPr>
              <w:t>6</w:t>
            </w:r>
            <w:r>
              <w:rPr>
                <w:rFonts w:ascii="Times New Roman" w:hAnsi="Times New Roman"/>
                <w:sz w:val="24"/>
                <w:szCs w:val="24"/>
              </w:rPr>
              <w:t>:00-1</w:t>
            </w:r>
            <w:r>
              <w:rPr>
                <w:rFonts w:hint="eastAsia" w:ascii="Times New Roman" w:hAnsi="Times New Roman"/>
                <w:sz w:val="24"/>
                <w:szCs w:val="24"/>
                <w:lang w:val="en-US" w:eastAsia="zh-CN"/>
              </w:rPr>
              <w:t>7</w:t>
            </w:r>
            <w:r>
              <w:rPr>
                <w:rFonts w:ascii="Times New Roman" w:hAnsi="Times New Roman"/>
                <w:sz w:val="24"/>
                <w:szCs w:val="24"/>
              </w:rPr>
              <w:t>:00</w:t>
            </w:r>
          </w:p>
        </w:tc>
      </w:tr>
      <w:tr w14:paraId="458BEB02">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A17A0ED">
            <w:pPr>
              <w:widowControl/>
              <w:spacing w:before="156" w:beforeLines="50" w:line="360" w:lineRule="auto"/>
              <w:jc w:val="center"/>
              <w:rPr>
                <w:rFonts w:ascii="宋体" w:cs="宋体"/>
                <w:b/>
                <w:bCs/>
                <w:kern w:val="0"/>
                <w:sz w:val="24"/>
              </w:rPr>
            </w:pPr>
            <w:r>
              <w:rPr>
                <w:rFonts w:hint="eastAsia" w:ascii="宋体" w:hAnsi="宋体" w:cs="宋体"/>
                <w:b/>
                <w:bCs/>
                <w:kern w:val="0"/>
                <w:sz w:val="24"/>
              </w:rPr>
              <w:t>地点</w:t>
            </w:r>
          </w:p>
        </w:tc>
        <w:tc>
          <w:tcPr>
            <w:tcW w:w="6571" w:type="dxa"/>
            <w:gridSpan w:val="2"/>
            <w:tcBorders>
              <w:top w:val="single" w:color="000000" w:sz="4" w:space="0"/>
              <w:left w:val="nil"/>
              <w:bottom w:val="single" w:color="000000" w:sz="4" w:space="0"/>
              <w:right w:val="single" w:color="000000" w:sz="4" w:space="0"/>
            </w:tcBorders>
            <w:vAlign w:val="center"/>
          </w:tcPr>
          <w:p w14:paraId="273A9E98">
            <w:pPr>
              <w:widowControl/>
              <w:spacing w:before="156" w:beforeLines="50" w:line="360" w:lineRule="auto"/>
              <w:rPr>
                <w:rFonts w:ascii="宋体" w:hAnsi="宋体"/>
                <w:sz w:val="24"/>
                <w:szCs w:val="24"/>
              </w:rPr>
            </w:pPr>
            <w:r>
              <w:rPr>
                <w:rFonts w:hint="eastAsia" w:ascii="宋体" w:hAnsi="宋体"/>
                <w:sz w:val="24"/>
                <w:szCs w:val="24"/>
              </w:rPr>
              <w:t>上证路演中心</w:t>
            </w:r>
          </w:p>
          <w:p w14:paraId="244AB218">
            <w:pPr>
              <w:widowControl/>
              <w:spacing w:before="156" w:beforeLines="50" w:line="360" w:lineRule="auto"/>
              <w:rPr>
                <w:rFonts w:ascii="宋体" w:hAnsi="宋体"/>
                <w:sz w:val="28"/>
                <w:szCs w:val="28"/>
              </w:rPr>
            </w:pPr>
            <w:r>
              <w:rPr>
                <w:rFonts w:hint="eastAsia" w:ascii="宋体" w:hAnsi="宋体"/>
                <w:sz w:val="24"/>
                <w:szCs w:val="24"/>
              </w:rPr>
              <w:t>网址：</w:t>
            </w:r>
            <w:r>
              <w:rPr>
                <w:rFonts w:ascii="Times New Roman" w:hAnsi="Times New Roman"/>
                <w:bCs/>
                <w:sz w:val="24"/>
              </w:rPr>
              <w:t>https://roadshow.sseinfo.com/</w:t>
            </w:r>
          </w:p>
        </w:tc>
      </w:tr>
      <w:tr w14:paraId="56C471B8">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C02B989">
            <w:pPr>
              <w:widowControl/>
              <w:spacing w:before="156" w:beforeLines="50" w:line="360" w:lineRule="auto"/>
              <w:jc w:val="center"/>
              <w:rPr>
                <w:rFonts w:ascii="宋体" w:hAnsi="宋体" w:cs="宋体"/>
                <w:b/>
                <w:bCs/>
                <w:kern w:val="0"/>
                <w:sz w:val="24"/>
              </w:rPr>
            </w:pPr>
            <w:r>
              <w:rPr>
                <w:rFonts w:hint="eastAsia" w:ascii="宋体" w:hAnsi="宋体" w:cs="宋体"/>
                <w:b/>
                <w:bCs/>
                <w:kern w:val="0"/>
                <w:sz w:val="24"/>
              </w:rPr>
              <w:t>形式</w:t>
            </w:r>
          </w:p>
        </w:tc>
        <w:tc>
          <w:tcPr>
            <w:tcW w:w="6571" w:type="dxa"/>
            <w:gridSpan w:val="2"/>
            <w:tcBorders>
              <w:top w:val="single" w:color="000000" w:sz="4" w:space="0"/>
              <w:left w:val="nil"/>
              <w:bottom w:val="single" w:color="000000" w:sz="4" w:space="0"/>
              <w:right w:val="single" w:color="000000" w:sz="4" w:space="0"/>
            </w:tcBorders>
            <w:vAlign w:val="center"/>
          </w:tcPr>
          <w:p w14:paraId="1570D56E">
            <w:pPr>
              <w:widowControl/>
              <w:spacing w:before="156" w:beforeLines="50" w:line="360" w:lineRule="auto"/>
              <w:rPr>
                <w:rFonts w:ascii="宋体" w:hAnsi="宋体"/>
                <w:sz w:val="24"/>
                <w:szCs w:val="24"/>
              </w:rPr>
            </w:pPr>
            <w:r>
              <w:rPr>
                <w:rFonts w:hint="eastAsia" w:ascii="宋体" w:hAnsi="宋体"/>
                <w:sz w:val="24"/>
                <w:szCs w:val="24"/>
              </w:rPr>
              <w:t>上证路演中心网络文字互动</w:t>
            </w:r>
          </w:p>
        </w:tc>
      </w:tr>
      <w:tr w14:paraId="44370E5D">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04E3EE9">
            <w:pPr>
              <w:widowControl/>
              <w:spacing w:before="156" w:beforeLines="50" w:line="360" w:lineRule="auto"/>
              <w:jc w:val="center"/>
              <w:rPr>
                <w:rFonts w:hint="eastAsia" w:ascii="宋体" w:hAnsi="宋体" w:cs="宋体"/>
                <w:b/>
                <w:bCs/>
                <w:kern w:val="0"/>
                <w:sz w:val="24"/>
              </w:rPr>
            </w:pPr>
            <w:r>
              <w:rPr>
                <w:rFonts w:hint="eastAsia" w:ascii="宋体" w:hAnsi="宋体" w:cs="宋体"/>
                <w:b/>
                <w:bCs/>
                <w:kern w:val="0"/>
                <w:sz w:val="24"/>
              </w:rPr>
              <w:t>上市公司</w:t>
            </w:r>
          </w:p>
          <w:p w14:paraId="1C2FCE03">
            <w:pPr>
              <w:widowControl/>
              <w:spacing w:before="156" w:beforeLines="50" w:line="360" w:lineRule="auto"/>
              <w:jc w:val="center"/>
              <w:rPr>
                <w:rFonts w:ascii="宋体" w:cs="宋体"/>
                <w:b/>
                <w:bCs/>
                <w:kern w:val="0"/>
                <w:sz w:val="24"/>
              </w:rPr>
            </w:pPr>
            <w:r>
              <w:rPr>
                <w:rFonts w:hint="eastAsia" w:ascii="宋体" w:hAnsi="宋体" w:cs="宋体"/>
                <w:b/>
                <w:bCs/>
                <w:kern w:val="0"/>
                <w:sz w:val="24"/>
              </w:rPr>
              <w:t>接待人员</w:t>
            </w:r>
          </w:p>
        </w:tc>
        <w:tc>
          <w:tcPr>
            <w:tcW w:w="6571" w:type="dxa"/>
            <w:gridSpan w:val="2"/>
            <w:tcBorders>
              <w:top w:val="single" w:color="000000" w:sz="4" w:space="0"/>
              <w:left w:val="nil"/>
              <w:bottom w:val="single" w:color="000000" w:sz="4" w:space="0"/>
              <w:right w:val="single" w:color="000000" w:sz="4" w:space="0"/>
            </w:tcBorders>
            <w:vAlign w:val="center"/>
          </w:tcPr>
          <w:p w14:paraId="31A57430">
            <w:pPr>
              <w:widowControl/>
              <w:spacing w:before="156" w:beforeLines="50" w:line="360" w:lineRule="auto"/>
              <w:rPr>
                <w:rFonts w:ascii="Times New Roman" w:hAnsi="Times New Roman"/>
                <w:sz w:val="24"/>
                <w:szCs w:val="24"/>
              </w:rPr>
            </w:pPr>
            <w:r>
              <w:rPr>
                <w:rFonts w:hint="eastAsia" w:ascii="Times New Roman" w:hAnsi="Times New Roman"/>
                <w:sz w:val="24"/>
                <w:szCs w:val="24"/>
              </w:rPr>
              <w:t>董事长、总经理：</w:t>
            </w:r>
            <w:r>
              <w:rPr>
                <w:rFonts w:hint="eastAsia" w:ascii="Times New Roman" w:hAnsi="Times New Roman"/>
                <w:sz w:val="24"/>
                <w:szCs w:val="24"/>
                <w:lang w:val="en-US" w:eastAsia="zh-CN"/>
              </w:rPr>
              <w:t>范伟浩</w:t>
            </w:r>
            <w:r>
              <w:rPr>
                <w:rFonts w:hint="eastAsia" w:ascii="Times New Roman" w:hAnsi="Times New Roman"/>
                <w:sz w:val="24"/>
                <w:szCs w:val="24"/>
              </w:rPr>
              <w:t>先生</w:t>
            </w:r>
          </w:p>
          <w:p w14:paraId="71A46E59">
            <w:pPr>
              <w:widowControl/>
              <w:spacing w:before="156" w:beforeLines="50" w:line="360" w:lineRule="auto"/>
              <w:rPr>
                <w:rFonts w:ascii="Times New Roman" w:hAnsi="Times New Roman"/>
                <w:sz w:val="24"/>
                <w:szCs w:val="24"/>
              </w:rPr>
            </w:pPr>
            <w:r>
              <w:rPr>
                <w:rFonts w:hint="eastAsia" w:ascii="Times New Roman" w:hAnsi="Times New Roman"/>
                <w:sz w:val="24"/>
                <w:szCs w:val="24"/>
              </w:rPr>
              <w:t>独立董事：谢兴盛先生</w:t>
            </w:r>
          </w:p>
          <w:p w14:paraId="7D1E1D0F">
            <w:pPr>
              <w:widowControl/>
              <w:spacing w:before="156" w:beforeLines="50" w:line="360" w:lineRule="auto"/>
              <w:rPr>
                <w:rFonts w:ascii="Times New Roman" w:hAnsi="Times New Roman"/>
                <w:sz w:val="24"/>
                <w:szCs w:val="24"/>
              </w:rPr>
            </w:pPr>
            <w:r>
              <w:rPr>
                <w:rFonts w:hint="eastAsia" w:ascii="Times New Roman" w:hAnsi="Times New Roman"/>
                <w:sz w:val="24"/>
                <w:szCs w:val="24"/>
              </w:rPr>
              <w:t>独立董事：</w:t>
            </w:r>
            <w:r>
              <w:rPr>
                <w:rFonts w:hint="eastAsia" w:ascii="Times New Roman" w:hAnsi="Times New Roman"/>
                <w:sz w:val="24"/>
                <w:szCs w:val="24"/>
                <w:lang w:val="en-US" w:eastAsia="zh-CN"/>
              </w:rPr>
              <w:t>孙承东</w:t>
            </w:r>
            <w:r>
              <w:rPr>
                <w:rFonts w:hint="eastAsia" w:ascii="Times New Roman" w:hAnsi="Times New Roman"/>
                <w:sz w:val="24"/>
                <w:szCs w:val="24"/>
              </w:rPr>
              <w:t>先生</w:t>
            </w:r>
          </w:p>
          <w:p w14:paraId="0AC34A7A">
            <w:pPr>
              <w:widowControl/>
              <w:spacing w:before="156" w:beforeLines="50" w:line="360" w:lineRule="auto"/>
              <w:rPr>
                <w:rFonts w:hint="eastAsia" w:ascii="Times New Roman" w:hAnsi="Times New Roman"/>
                <w:sz w:val="24"/>
                <w:szCs w:val="24"/>
              </w:rPr>
            </w:pPr>
            <w:r>
              <w:rPr>
                <w:rFonts w:hint="eastAsia" w:ascii="Times New Roman" w:hAnsi="Times New Roman"/>
                <w:sz w:val="24"/>
                <w:szCs w:val="24"/>
                <w:lang w:val="en-US" w:eastAsia="zh-CN"/>
              </w:rPr>
              <w:t>副总经理、</w:t>
            </w:r>
            <w:r>
              <w:rPr>
                <w:rFonts w:hint="eastAsia" w:ascii="Times New Roman" w:hAnsi="Times New Roman"/>
                <w:sz w:val="24"/>
                <w:szCs w:val="24"/>
              </w:rPr>
              <w:t>董事会秘书：</w:t>
            </w:r>
            <w:r>
              <w:rPr>
                <w:rFonts w:hint="eastAsia" w:ascii="Times New Roman" w:hAnsi="Times New Roman"/>
                <w:sz w:val="24"/>
                <w:szCs w:val="24"/>
                <w:lang w:val="en-US" w:eastAsia="zh-CN"/>
              </w:rPr>
              <w:t>杨林</w:t>
            </w:r>
            <w:r>
              <w:rPr>
                <w:rFonts w:hint="eastAsia" w:ascii="Times New Roman" w:hAnsi="Times New Roman"/>
                <w:sz w:val="24"/>
                <w:szCs w:val="24"/>
              </w:rPr>
              <w:t>先生</w:t>
            </w:r>
          </w:p>
          <w:p w14:paraId="360F7583">
            <w:pPr>
              <w:widowControl/>
              <w:spacing w:before="156" w:beforeLines="50" w:line="360" w:lineRule="auto"/>
              <w:rPr>
                <w:rFonts w:hint="default" w:ascii="Times New Roman" w:hAnsi="Times New Roman" w:eastAsia="宋体"/>
                <w:sz w:val="24"/>
                <w:szCs w:val="24"/>
                <w:lang w:val="en-US" w:eastAsia="zh-CN"/>
              </w:rPr>
            </w:pPr>
            <w:r>
              <w:rPr>
                <w:rFonts w:hint="eastAsia" w:ascii="Times New Roman" w:hAnsi="Times New Roman"/>
                <w:sz w:val="24"/>
                <w:szCs w:val="24"/>
              </w:rPr>
              <w:t>财务总监</w:t>
            </w:r>
            <w:r>
              <w:rPr>
                <w:rFonts w:hint="eastAsia" w:ascii="Times New Roman" w:hAnsi="Times New Roman"/>
                <w:sz w:val="24"/>
                <w:szCs w:val="24"/>
                <w:lang w:eastAsia="zh-CN"/>
              </w:rPr>
              <w:t>：</w:t>
            </w:r>
            <w:r>
              <w:rPr>
                <w:rFonts w:hint="eastAsia" w:ascii="Times New Roman" w:hAnsi="Times New Roman"/>
                <w:sz w:val="24"/>
                <w:szCs w:val="24"/>
                <w:lang w:val="en-US" w:eastAsia="zh-CN"/>
              </w:rPr>
              <w:t>杨小伟</w:t>
            </w:r>
          </w:p>
        </w:tc>
      </w:tr>
      <w:tr w14:paraId="529D94ED">
        <w:tblPrEx>
          <w:tblCellMar>
            <w:top w:w="0" w:type="dxa"/>
            <w:left w:w="108" w:type="dxa"/>
            <w:bottom w:w="0" w:type="dxa"/>
            <w:right w:w="108" w:type="dxa"/>
          </w:tblCellMar>
        </w:tblPrEx>
        <w:trPr>
          <w:trHeight w:val="1757" w:hRule="atLeast"/>
        </w:trPr>
        <w:tc>
          <w:tcPr>
            <w:tcW w:w="1951" w:type="dxa"/>
            <w:tcBorders>
              <w:top w:val="single" w:color="000000" w:sz="4" w:space="0"/>
              <w:left w:val="single" w:color="000000" w:sz="4" w:space="0"/>
              <w:bottom w:val="single" w:color="000000" w:sz="4" w:space="0"/>
              <w:right w:val="single" w:color="000000" w:sz="4" w:space="0"/>
            </w:tcBorders>
            <w:vAlign w:val="center"/>
          </w:tcPr>
          <w:p w14:paraId="12E3B72C">
            <w:pPr>
              <w:widowControl/>
              <w:spacing w:before="156" w:beforeLines="50" w:line="360" w:lineRule="auto"/>
              <w:jc w:val="center"/>
              <w:rPr>
                <w:rFonts w:ascii="宋体" w:cs="宋体"/>
                <w:b/>
                <w:bCs/>
                <w:kern w:val="0"/>
                <w:sz w:val="24"/>
              </w:rPr>
            </w:pPr>
            <w:r>
              <w:rPr>
                <w:rFonts w:hint="eastAsia" w:ascii="宋体" w:hAnsi="宋体" w:cs="宋体"/>
                <w:b/>
                <w:bCs/>
                <w:kern w:val="0"/>
                <w:sz w:val="24"/>
              </w:rPr>
              <w:t>投资者关系活动主要内容介绍</w:t>
            </w:r>
          </w:p>
        </w:tc>
        <w:tc>
          <w:tcPr>
            <w:tcW w:w="6571" w:type="dxa"/>
            <w:gridSpan w:val="2"/>
            <w:tcBorders>
              <w:top w:val="single" w:color="000000" w:sz="4" w:space="0"/>
              <w:left w:val="nil"/>
              <w:bottom w:val="single" w:color="000000" w:sz="4" w:space="0"/>
              <w:right w:val="single" w:color="000000" w:sz="4" w:space="0"/>
            </w:tcBorders>
            <w:vAlign w:val="center"/>
          </w:tcPr>
          <w:p w14:paraId="0B421787">
            <w:pPr>
              <w:widowControl/>
              <w:spacing w:before="156" w:beforeLines="50" w:line="360" w:lineRule="auto"/>
              <w:rPr>
                <w:rFonts w:ascii="宋体" w:hAnsi="宋体"/>
                <w:sz w:val="24"/>
                <w:szCs w:val="24"/>
              </w:rPr>
            </w:pPr>
            <w:r>
              <w:rPr>
                <w:rFonts w:hint="eastAsia" w:ascii="宋体" w:hAnsi="宋体"/>
                <w:sz w:val="24"/>
                <w:szCs w:val="24"/>
              </w:rPr>
              <w:t>网络互动环节：</w:t>
            </w:r>
          </w:p>
          <w:p w14:paraId="47D34044">
            <w:pPr>
              <w:spacing w:line="360" w:lineRule="auto"/>
              <w:ind w:firstLine="480" w:firstLineChars="200"/>
              <w:rPr>
                <w:rFonts w:ascii="Times New Roman" w:hAnsi="Times New Roman"/>
                <w:sz w:val="24"/>
                <w:szCs w:val="24"/>
              </w:rPr>
            </w:pPr>
            <w:r>
              <w:rPr>
                <w:rFonts w:ascii="Times New Roman" w:hAnsi="Times New Roman"/>
                <w:sz w:val="24"/>
                <w:szCs w:val="24"/>
              </w:rPr>
              <w:t>问题一：</w:t>
            </w:r>
            <w:r>
              <w:rPr>
                <w:rFonts w:hint="eastAsia" w:ascii="宋体" w:hAnsi="宋体" w:eastAsia="宋体" w:cs="宋体"/>
                <w:i w:val="0"/>
                <w:iCs w:val="0"/>
                <w:caps w:val="0"/>
                <w:color w:val="00040D"/>
                <w:spacing w:val="0"/>
                <w:sz w:val="24"/>
                <w:szCs w:val="24"/>
                <w:highlight w:val="none"/>
                <w:shd w:val="clear" w:fill="FFFFFF"/>
              </w:rPr>
              <w:t>请问范总，亚振收购广西锆业虽然解决了</w:t>
            </w:r>
            <w:r>
              <w:rPr>
                <w:rFonts w:hint="eastAsia" w:ascii="Times New Roman" w:hAnsi="Times New Roman" w:eastAsia="宋体" w:cs="Times New Roman"/>
                <w:i w:val="0"/>
                <w:iCs w:val="0"/>
                <w:caps w:val="0"/>
                <w:color w:val="00040D"/>
                <w:spacing w:val="0"/>
                <w:sz w:val="24"/>
                <w:szCs w:val="24"/>
                <w:highlight w:val="none"/>
                <w:shd w:val="clear" w:fill="FFFFFF"/>
              </w:rPr>
              <w:t>2</w:t>
            </w:r>
            <w:r>
              <w:rPr>
                <w:rFonts w:hint="eastAsia" w:ascii="Times New Roman" w:hAnsi="Times New Roman" w:eastAsia="宋体" w:cs="Times New Roman"/>
                <w:i w:val="0"/>
                <w:iCs w:val="0"/>
                <w:caps w:val="0"/>
                <w:color w:val="00040D"/>
                <w:spacing w:val="0"/>
                <w:sz w:val="24"/>
                <w:szCs w:val="24"/>
                <w:highlight w:val="none"/>
                <w:shd w:val="clear" w:fill="FFFFFF"/>
                <w:lang w:val="en-US" w:eastAsia="zh-CN"/>
              </w:rPr>
              <w:t>02</w:t>
            </w:r>
            <w:r>
              <w:rPr>
                <w:rFonts w:hint="eastAsia" w:ascii="Times New Roman" w:hAnsi="Times New Roman" w:eastAsia="宋体" w:cs="Times New Roman"/>
                <w:i w:val="0"/>
                <w:iCs w:val="0"/>
                <w:caps w:val="0"/>
                <w:color w:val="00040D"/>
                <w:spacing w:val="0"/>
                <w:sz w:val="24"/>
                <w:szCs w:val="24"/>
                <w:highlight w:val="none"/>
                <w:shd w:val="clear" w:fill="FFFFFF"/>
              </w:rPr>
              <w:t>5</w:t>
            </w:r>
            <w:r>
              <w:rPr>
                <w:rFonts w:hint="eastAsia" w:ascii="Times New Roman" w:hAnsi="Times New Roman" w:eastAsia="宋体" w:cs="Times New Roman"/>
                <w:i w:val="0"/>
                <w:iCs w:val="0"/>
                <w:caps w:val="0"/>
                <w:color w:val="00040D"/>
                <w:spacing w:val="0"/>
                <w:sz w:val="24"/>
                <w:szCs w:val="24"/>
                <w:highlight w:val="none"/>
                <w:shd w:val="clear" w:fill="FFFFFF"/>
                <w:lang w:val="en-US" w:eastAsia="zh-CN"/>
              </w:rPr>
              <w:t>年</w:t>
            </w:r>
            <w:r>
              <w:rPr>
                <w:rFonts w:hint="eastAsia" w:ascii="宋体" w:hAnsi="宋体" w:eastAsia="宋体" w:cs="宋体"/>
                <w:i w:val="0"/>
                <w:iCs w:val="0"/>
                <w:caps w:val="0"/>
                <w:color w:val="00040D"/>
                <w:spacing w:val="0"/>
                <w:sz w:val="24"/>
                <w:szCs w:val="24"/>
                <w:highlight w:val="none"/>
                <w:shd w:val="clear" w:fill="FFFFFF"/>
              </w:rPr>
              <w:t>营收和摘帽问题，但</w:t>
            </w:r>
            <w:r>
              <w:rPr>
                <w:rFonts w:hint="default" w:ascii="Times New Roman" w:hAnsi="Times New Roman" w:eastAsia="宋体" w:cs="Times New Roman"/>
                <w:i w:val="0"/>
                <w:iCs w:val="0"/>
                <w:caps w:val="0"/>
                <w:color w:val="00040D"/>
                <w:spacing w:val="0"/>
                <w:sz w:val="24"/>
                <w:szCs w:val="24"/>
                <w:highlight w:val="none"/>
                <w:shd w:val="clear" w:fill="FFFFFF"/>
              </w:rPr>
              <w:t>2</w:t>
            </w:r>
            <w:r>
              <w:rPr>
                <w:rFonts w:hint="eastAsia" w:ascii="Times New Roman" w:hAnsi="Times New Roman" w:eastAsia="宋体" w:cs="Times New Roman"/>
                <w:i w:val="0"/>
                <w:iCs w:val="0"/>
                <w:caps w:val="0"/>
                <w:color w:val="00040D"/>
                <w:spacing w:val="0"/>
                <w:sz w:val="24"/>
                <w:szCs w:val="24"/>
                <w:highlight w:val="none"/>
                <w:shd w:val="clear" w:fill="FFFFFF"/>
                <w:lang w:val="en-US" w:eastAsia="zh-CN"/>
              </w:rPr>
              <w:t>02</w:t>
            </w:r>
            <w:r>
              <w:rPr>
                <w:rFonts w:hint="default" w:ascii="Times New Roman" w:hAnsi="Times New Roman" w:eastAsia="宋体" w:cs="Times New Roman"/>
                <w:i w:val="0"/>
                <w:iCs w:val="0"/>
                <w:caps w:val="0"/>
                <w:color w:val="00040D"/>
                <w:spacing w:val="0"/>
                <w:sz w:val="24"/>
                <w:szCs w:val="24"/>
                <w:highlight w:val="none"/>
                <w:shd w:val="clear" w:fill="FFFFFF"/>
              </w:rPr>
              <w:t>6</w:t>
            </w:r>
            <w:r>
              <w:rPr>
                <w:rFonts w:hint="eastAsia" w:ascii="宋体" w:hAnsi="宋体" w:eastAsia="宋体" w:cs="宋体"/>
                <w:i w:val="0"/>
                <w:iCs w:val="0"/>
                <w:caps w:val="0"/>
                <w:color w:val="00040D"/>
                <w:spacing w:val="0"/>
                <w:sz w:val="24"/>
                <w:szCs w:val="24"/>
                <w:highlight w:val="none"/>
                <w:shd w:val="clear" w:fill="FFFFFF"/>
              </w:rPr>
              <w:t>年</w:t>
            </w:r>
            <w:r>
              <w:rPr>
                <w:rFonts w:hint="eastAsia" w:ascii="Times New Roman" w:hAnsi="Times New Roman" w:eastAsia="宋体" w:cs="Times New Roman"/>
                <w:i w:val="0"/>
                <w:iCs w:val="0"/>
                <w:caps w:val="0"/>
                <w:color w:val="00040D"/>
                <w:spacing w:val="0"/>
                <w:sz w:val="24"/>
                <w:szCs w:val="24"/>
                <w:highlight w:val="none"/>
                <w:shd w:val="clear" w:fill="FFFFFF"/>
              </w:rPr>
              <w:t>1</w:t>
            </w:r>
            <w:r>
              <w:rPr>
                <w:rFonts w:hint="eastAsia" w:ascii="宋体" w:hAnsi="宋体" w:eastAsia="宋体" w:cs="宋体"/>
                <w:i w:val="0"/>
                <w:iCs w:val="0"/>
                <w:caps w:val="0"/>
                <w:color w:val="00040D"/>
                <w:spacing w:val="0"/>
                <w:sz w:val="24"/>
                <w:szCs w:val="24"/>
                <w:highlight w:val="none"/>
                <w:shd w:val="clear" w:fill="FFFFFF"/>
              </w:rPr>
              <w:t>季度继续亏损，公司将具体采取哪些措施来确保</w:t>
            </w:r>
            <w:r>
              <w:rPr>
                <w:rFonts w:hint="eastAsia" w:ascii="Times New Roman" w:hAnsi="Times New Roman" w:eastAsia="宋体" w:cs="Times New Roman"/>
                <w:i w:val="0"/>
                <w:iCs w:val="0"/>
                <w:caps w:val="0"/>
                <w:color w:val="00040D"/>
                <w:spacing w:val="0"/>
                <w:sz w:val="24"/>
                <w:szCs w:val="24"/>
                <w:highlight w:val="none"/>
                <w:shd w:val="clear" w:fill="FFFFFF"/>
              </w:rPr>
              <w:t>2</w:t>
            </w:r>
            <w:r>
              <w:rPr>
                <w:rFonts w:hint="eastAsia" w:ascii="Times New Roman" w:hAnsi="Times New Roman" w:eastAsia="宋体" w:cs="Times New Roman"/>
                <w:i w:val="0"/>
                <w:iCs w:val="0"/>
                <w:caps w:val="0"/>
                <w:color w:val="00040D"/>
                <w:spacing w:val="0"/>
                <w:sz w:val="24"/>
                <w:szCs w:val="24"/>
                <w:highlight w:val="none"/>
                <w:shd w:val="clear" w:fill="FFFFFF"/>
                <w:lang w:val="en-US" w:eastAsia="zh-CN"/>
              </w:rPr>
              <w:t>02</w:t>
            </w:r>
            <w:r>
              <w:rPr>
                <w:rFonts w:hint="eastAsia" w:ascii="Times New Roman" w:hAnsi="Times New Roman" w:eastAsia="宋体" w:cs="Times New Roman"/>
                <w:i w:val="0"/>
                <w:iCs w:val="0"/>
                <w:caps w:val="0"/>
                <w:color w:val="00040D"/>
                <w:spacing w:val="0"/>
                <w:sz w:val="24"/>
                <w:szCs w:val="24"/>
                <w:highlight w:val="none"/>
                <w:shd w:val="clear" w:fill="FFFFFF"/>
              </w:rPr>
              <w:t>6</w:t>
            </w:r>
            <w:r>
              <w:rPr>
                <w:rFonts w:hint="eastAsia" w:ascii="宋体" w:hAnsi="宋体" w:eastAsia="宋体" w:cs="宋体"/>
                <w:i w:val="0"/>
                <w:iCs w:val="0"/>
                <w:caps w:val="0"/>
                <w:color w:val="00040D"/>
                <w:spacing w:val="0"/>
                <w:sz w:val="24"/>
                <w:szCs w:val="24"/>
                <w:highlight w:val="none"/>
                <w:shd w:val="clear" w:fill="FFFFFF"/>
              </w:rPr>
              <w:t>年实现盈利和持续良性增长？特别是目前亚振高涨的股价更多是市场基于吴董域潇集团解决同业竞争进行优质资产注入的预期，现阶段广西锆业的盈利能力若无法达到市场预期，将会给公司以及股价带来严重影响。公司经营层是否有对上市公司稳定市值的预案管理，保护中小投资者权益，请具体介绍下。</w:t>
            </w:r>
          </w:p>
          <w:p w14:paraId="0092D3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40D"/>
                <w:spacing w:val="0"/>
                <w:sz w:val="24"/>
                <w:szCs w:val="24"/>
                <w:shd w:val="clear" w:fill="FFFFFF"/>
                <w:lang w:val="en-US" w:eastAsia="zh-CN"/>
              </w:rPr>
            </w:pPr>
            <w:r>
              <w:rPr>
                <w:rFonts w:ascii="Times New Roman" w:hAnsi="Times New Roman"/>
                <w:sz w:val="24"/>
                <w:szCs w:val="24"/>
              </w:rPr>
              <w:t>答</w:t>
            </w:r>
            <w:r>
              <w:rPr>
                <w:rFonts w:hint="eastAsia" w:ascii="Times New Roman" w:hAnsi="Times New Roman"/>
                <w:sz w:val="24"/>
                <w:szCs w:val="24"/>
              </w:rPr>
              <w:t>：</w:t>
            </w:r>
            <w:r>
              <w:rPr>
                <w:rFonts w:hint="eastAsia" w:ascii="宋体" w:hAnsi="宋体" w:eastAsia="宋体" w:cs="宋体"/>
                <w:i w:val="0"/>
                <w:iCs w:val="0"/>
                <w:caps w:val="0"/>
                <w:color w:val="00040D"/>
                <w:spacing w:val="0"/>
                <w:sz w:val="24"/>
                <w:szCs w:val="24"/>
                <w:shd w:val="clear" w:fill="FFFFFF"/>
                <w:lang w:val="en-US" w:eastAsia="zh-CN"/>
              </w:rPr>
              <w:t>尊敬的投资者您好，公司家居业务将聚焦高端海派生活方式，做精做强；锆钛业务将向产业链拓展、持续开拓战略客户，打造稳定盈利增长。</w:t>
            </w:r>
          </w:p>
          <w:p w14:paraId="61934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40D"/>
                <w:spacing w:val="0"/>
                <w:sz w:val="24"/>
                <w:szCs w:val="24"/>
                <w:shd w:val="clear" w:fill="FFFFFF"/>
                <w:lang w:val="en-US" w:eastAsia="zh-CN"/>
              </w:rPr>
            </w:pPr>
            <w:r>
              <w:rPr>
                <w:rFonts w:hint="eastAsia" w:ascii="宋体" w:hAnsi="宋体" w:eastAsia="宋体" w:cs="宋体"/>
                <w:i w:val="0"/>
                <w:iCs w:val="0"/>
                <w:caps w:val="0"/>
                <w:color w:val="00040D"/>
                <w:spacing w:val="0"/>
                <w:sz w:val="24"/>
                <w:szCs w:val="24"/>
                <w:shd w:val="clear" w:fill="FFFFFF"/>
                <w:lang w:val="en-US" w:eastAsia="zh-CN"/>
              </w:rPr>
              <w:t>公司家居板块业务将在核心资产业务下沉的基础上推进实施“聚焦高端核心产品、系统全面降低成本费用、多种方式盘活资产”等运营思路。充分聚焦特定区域市场与特殊渠道资源，精准服务高净值客群的高端全屋定制需求；以“海派全屋生活方式”为核心，打造差异化竞争优势，实现高端市场份额的稳步提升，实现业务板块全年大幅减亏。具体为：</w:t>
            </w:r>
            <w:r>
              <w:rPr>
                <w:rFonts w:hint="eastAsia" w:ascii="Times New Roman" w:hAnsi="Times New Roman" w:eastAsia="宋体" w:cs="Times New Roman"/>
                <w:i w:val="0"/>
                <w:iCs w:val="0"/>
                <w:caps w:val="0"/>
                <w:color w:val="00040D"/>
                <w:spacing w:val="0"/>
                <w:sz w:val="24"/>
                <w:szCs w:val="24"/>
                <w:shd w:val="clear" w:fill="FFFFFF"/>
                <w:lang w:val="en-US" w:eastAsia="zh-CN"/>
              </w:rPr>
              <w:t>1</w:t>
            </w:r>
            <w:r>
              <w:rPr>
                <w:rFonts w:hint="eastAsia" w:ascii="宋体" w:hAnsi="宋体" w:eastAsia="宋体" w:cs="宋体"/>
                <w:i w:val="0"/>
                <w:iCs w:val="0"/>
                <w:caps w:val="0"/>
                <w:color w:val="00040D"/>
                <w:spacing w:val="0"/>
                <w:sz w:val="24"/>
                <w:szCs w:val="24"/>
                <w:shd w:val="clear" w:fill="FFFFFF"/>
                <w:lang w:val="en-US" w:eastAsia="zh-CN"/>
              </w:rPr>
              <w:t>、充分聚焦高端核心产品；</w:t>
            </w:r>
            <w:r>
              <w:rPr>
                <w:rFonts w:hint="eastAsia" w:ascii="Times New Roman" w:hAnsi="Times New Roman" w:eastAsia="宋体" w:cs="Times New Roman"/>
                <w:i w:val="0"/>
                <w:iCs w:val="0"/>
                <w:caps w:val="0"/>
                <w:color w:val="00040D"/>
                <w:spacing w:val="0"/>
                <w:sz w:val="24"/>
                <w:szCs w:val="24"/>
                <w:shd w:val="clear" w:fill="FFFFFF"/>
                <w:lang w:val="en-US" w:eastAsia="zh-CN"/>
              </w:rPr>
              <w:t>2</w:t>
            </w:r>
            <w:r>
              <w:rPr>
                <w:rFonts w:hint="eastAsia" w:ascii="宋体" w:hAnsi="宋体" w:eastAsia="宋体" w:cs="宋体"/>
                <w:i w:val="0"/>
                <w:iCs w:val="0"/>
                <w:caps w:val="0"/>
                <w:color w:val="00040D"/>
                <w:spacing w:val="0"/>
                <w:sz w:val="24"/>
                <w:szCs w:val="24"/>
                <w:shd w:val="clear" w:fill="FFFFFF"/>
                <w:lang w:val="en-US" w:eastAsia="zh-CN"/>
              </w:rPr>
              <w:t>、全面系统降低成本费用；</w:t>
            </w:r>
            <w:r>
              <w:rPr>
                <w:rFonts w:hint="eastAsia" w:ascii="Times New Roman" w:hAnsi="Times New Roman" w:eastAsia="宋体" w:cs="Times New Roman"/>
                <w:i w:val="0"/>
                <w:iCs w:val="0"/>
                <w:caps w:val="0"/>
                <w:color w:val="00040D"/>
                <w:spacing w:val="0"/>
                <w:sz w:val="24"/>
                <w:szCs w:val="24"/>
                <w:shd w:val="clear" w:fill="FFFFFF"/>
                <w:lang w:val="en-US" w:eastAsia="zh-CN"/>
              </w:rPr>
              <w:t>3</w:t>
            </w:r>
            <w:r>
              <w:rPr>
                <w:rFonts w:hint="eastAsia" w:ascii="宋体" w:hAnsi="宋体" w:eastAsia="宋体" w:cs="宋体"/>
                <w:i w:val="0"/>
                <w:iCs w:val="0"/>
                <w:caps w:val="0"/>
                <w:color w:val="00040D"/>
                <w:spacing w:val="0"/>
                <w:sz w:val="24"/>
                <w:szCs w:val="24"/>
                <w:shd w:val="clear" w:fill="FFFFFF"/>
                <w:lang w:val="en-US" w:eastAsia="zh-CN"/>
              </w:rPr>
              <w:t>、多种方式盘活资产，提升资金管理效率。</w:t>
            </w:r>
          </w:p>
          <w:p w14:paraId="0004B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40D"/>
                <w:spacing w:val="0"/>
                <w:sz w:val="24"/>
                <w:szCs w:val="24"/>
                <w:shd w:val="clear" w:fill="FFFFFF"/>
                <w:lang w:val="en-US" w:eastAsia="zh-CN"/>
              </w:rPr>
            </w:pPr>
            <w:r>
              <w:rPr>
                <w:rFonts w:hint="eastAsia" w:ascii="宋体" w:hAnsi="宋体" w:eastAsia="宋体" w:cs="宋体"/>
                <w:i w:val="0"/>
                <w:iCs w:val="0"/>
                <w:caps w:val="0"/>
                <w:color w:val="00040D"/>
                <w:spacing w:val="0"/>
                <w:sz w:val="24"/>
                <w:szCs w:val="24"/>
                <w:shd w:val="clear" w:fill="FFFFFF"/>
                <w:lang w:val="en-US" w:eastAsia="zh-CN"/>
              </w:rPr>
              <w:t>锆钛矿选矿业务板块将紧扣公司战略规划，坚持稳供应、精生产、强技术、拓延伸、深市场的总体经营方针，实现企业生产稳定、成本可控、效益提升：</w:t>
            </w:r>
            <w:r>
              <w:rPr>
                <w:rFonts w:hint="eastAsia" w:ascii="Times New Roman" w:hAnsi="Times New Roman" w:eastAsia="宋体" w:cs="Times New Roman"/>
                <w:i w:val="0"/>
                <w:iCs w:val="0"/>
                <w:caps w:val="0"/>
                <w:color w:val="00040D"/>
                <w:spacing w:val="0"/>
                <w:sz w:val="24"/>
                <w:szCs w:val="24"/>
                <w:shd w:val="clear" w:fill="FFFFFF"/>
                <w:lang w:val="en-US" w:eastAsia="zh-CN"/>
              </w:rPr>
              <w:t>1</w:t>
            </w:r>
            <w:r>
              <w:rPr>
                <w:rFonts w:hint="eastAsia" w:ascii="宋体" w:hAnsi="宋体" w:eastAsia="宋体" w:cs="宋体"/>
                <w:i w:val="0"/>
                <w:iCs w:val="0"/>
                <w:caps w:val="0"/>
                <w:color w:val="00040D"/>
                <w:spacing w:val="0"/>
                <w:sz w:val="24"/>
                <w:szCs w:val="24"/>
                <w:shd w:val="clear" w:fill="FFFFFF"/>
                <w:lang w:val="en-US" w:eastAsia="zh-CN"/>
              </w:rPr>
              <w:t>、统筹采购，降低原料市场波动风险；</w:t>
            </w:r>
            <w:r>
              <w:rPr>
                <w:rFonts w:hint="default" w:ascii="Times New Roman" w:hAnsi="Times New Roman" w:eastAsia="宋体" w:cs="Times New Roman"/>
                <w:i w:val="0"/>
                <w:iCs w:val="0"/>
                <w:caps w:val="0"/>
                <w:color w:val="00040D"/>
                <w:spacing w:val="0"/>
                <w:sz w:val="24"/>
                <w:szCs w:val="24"/>
                <w:shd w:val="clear" w:fill="FFFFFF"/>
                <w:lang w:val="en-US" w:eastAsia="zh-CN"/>
              </w:rPr>
              <w:t>2</w:t>
            </w:r>
            <w:r>
              <w:rPr>
                <w:rFonts w:hint="eastAsia" w:ascii="宋体" w:hAnsi="宋体" w:eastAsia="宋体" w:cs="宋体"/>
                <w:i w:val="0"/>
                <w:iCs w:val="0"/>
                <w:caps w:val="0"/>
                <w:color w:val="00040D"/>
                <w:spacing w:val="0"/>
                <w:sz w:val="24"/>
                <w:szCs w:val="24"/>
                <w:shd w:val="clear" w:fill="FFFFFF"/>
                <w:lang w:val="en-US" w:eastAsia="zh-CN"/>
              </w:rPr>
              <w:t>、以销定产，积极灵活调整产品结构；</w:t>
            </w:r>
            <w:r>
              <w:rPr>
                <w:rFonts w:hint="eastAsia" w:ascii="Times New Roman" w:hAnsi="Times New Roman" w:eastAsia="宋体" w:cs="Times New Roman"/>
                <w:i w:val="0"/>
                <w:iCs w:val="0"/>
                <w:caps w:val="0"/>
                <w:color w:val="00040D"/>
                <w:spacing w:val="0"/>
                <w:sz w:val="24"/>
                <w:szCs w:val="24"/>
                <w:shd w:val="clear" w:fill="FFFFFF"/>
                <w:lang w:val="en-US" w:eastAsia="zh-CN"/>
              </w:rPr>
              <w:t>3</w:t>
            </w:r>
            <w:r>
              <w:rPr>
                <w:rFonts w:hint="eastAsia" w:ascii="宋体" w:hAnsi="宋体" w:eastAsia="宋体" w:cs="宋体"/>
                <w:i w:val="0"/>
                <w:iCs w:val="0"/>
                <w:caps w:val="0"/>
                <w:color w:val="00040D"/>
                <w:spacing w:val="0"/>
                <w:sz w:val="24"/>
                <w:szCs w:val="24"/>
                <w:shd w:val="clear" w:fill="FFFFFF"/>
                <w:lang w:val="en-US" w:eastAsia="zh-CN"/>
              </w:rPr>
              <w:t>、聚焦优质大客户，全力推进战略长协供货；</w:t>
            </w:r>
            <w:r>
              <w:rPr>
                <w:rFonts w:hint="eastAsia" w:ascii="Times New Roman" w:hAnsi="Times New Roman" w:eastAsia="宋体" w:cs="Times New Roman"/>
                <w:i w:val="0"/>
                <w:iCs w:val="0"/>
                <w:caps w:val="0"/>
                <w:color w:val="00040D"/>
                <w:spacing w:val="0"/>
                <w:sz w:val="24"/>
                <w:szCs w:val="24"/>
                <w:shd w:val="clear" w:fill="FFFFFF"/>
                <w:lang w:val="en-US" w:eastAsia="zh-CN"/>
              </w:rPr>
              <w:t>4</w:t>
            </w:r>
            <w:r>
              <w:rPr>
                <w:rFonts w:hint="eastAsia" w:ascii="宋体" w:hAnsi="宋体" w:eastAsia="宋体" w:cs="宋体"/>
                <w:i w:val="0"/>
                <w:iCs w:val="0"/>
                <w:caps w:val="0"/>
                <w:color w:val="00040D"/>
                <w:spacing w:val="0"/>
                <w:sz w:val="24"/>
                <w:szCs w:val="24"/>
                <w:shd w:val="clear" w:fill="FFFFFF"/>
                <w:lang w:val="en-US" w:eastAsia="zh-CN"/>
              </w:rPr>
              <w:t>、积极统筹财务管理，降低财务费用。具体内容详见公司</w:t>
            </w:r>
            <w:r>
              <w:rPr>
                <w:rFonts w:hint="eastAsia" w:ascii="Times New Roman" w:hAnsi="Times New Roman" w:eastAsia="宋体" w:cs="Times New Roman"/>
                <w:i w:val="0"/>
                <w:iCs w:val="0"/>
                <w:caps w:val="0"/>
                <w:color w:val="00040D"/>
                <w:spacing w:val="0"/>
                <w:sz w:val="24"/>
                <w:szCs w:val="24"/>
                <w:shd w:val="clear" w:fill="FFFFFF"/>
                <w:lang w:val="en-US" w:eastAsia="zh-CN"/>
              </w:rPr>
              <w:t>2025</w:t>
            </w:r>
            <w:r>
              <w:rPr>
                <w:rFonts w:hint="eastAsia" w:ascii="宋体" w:hAnsi="宋体" w:eastAsia="宋体" w:cs="宋体"/>
                <w:i w:val="0"/>
                <w:iCs w:val="0"/>
                <w:caps w:val="0"/>
                <w:color w:val="00040D"/>
                <w:spacing w:val="0"/>
                <w:sz w:val="24"/>
                <w:szCs w:val="24"/>
                <w:shd w:val="clear" w:fill="FFFFFF"/>
                <w:lang w:val="en-US" w:eastAsia="zh-CN"/>
              </w:rPr>
              <w:t>年年度报告经营计划。</w:t>
            </w:r>
          </w:p>
          <w:p w14:paraId="0EFB21E6">
            <w:pPr>
              <w:spacing w:line="360" w:lineRule="auto"/>
              <w:ind w:firstLine="480" w:firstLineChars="200"/>
              <w:rPr>
                <w:rFonts w:hint="eastAsia" w:ascii="Times New Roman" w:hAnsi="Times New Roman"/>
                <w:sz w:val="24"/>
                <w:szCs w:val="24"/>
              </w:rPr>
            </w:pPr>
            <w:r>
              <w:rPr>
                <w:rFonts w:hint="eastAsia" w:ascii="宋体" w:hAnsi="宋体" w:eastAsia="宋体" w:cs="宋体"/>
                <w:i w:val="0"/>
                <w:iCs w:val="0"/>
                <w:caps w:val="0"/>
                <w:color w:val="00040D"/>
                <w:spacing w:val="0"/>
                <w:sz w:val="24"/>
                <w:szCs w:val="24"/>
                <w:shd w:val="clear" w:fill="FFFFFF"/>
                <w:lang w:val="en-US" w:eastAsia="zh-CN"/>
              </w:rPr>
              <w:t>公司始终重视投资者的利益，将继续专注主业，增强业务优势，坚持以提升公司经营业绩和企业价值作为长期工作重点，切实保障中小股东权益。感谢您的提问！</w:t>
            </w:r>
          </w:p>
          <w:p w14:paraId="3677A3E9">
            <w:pPr>
              <w:spacing w:line="360" w:lineRule="auto"/>
              <w:ind w:firstLine="480" w:firstLineChars="200"/>
              <w:rPr>
                <w:rFonts w:hint="eastAsia" w:ascii="Times New Roman" w:hAnsi="Times New Roman"/>
                <w:sz w:val="24"/>
                <w:szCs w:val="24"/>
              </w:rPr>
            </w:pPr>
          </w:p>
          <w:p w14:paraId="01648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ascii="Times New Roman" w:hAnsi="Times New Roman"/>
                <w:sz w:val="24"/>
                <w:szCs w:val="24"/>
              </w:rPr>
              <w:t>问题二：</w:t>
            </w:r>
            <w:r>
              <w:rPr>
                <w:rFonts w:hint="eastAsia" w:ascii="宋体" w:hAnsi="宋体" w:eastAsia="宋体" w:cs="宋体"/>
                <w:i w:val="0"/>
                <w:iCs w:val="0"/>
                <w:caps w:val="0"/>
                <w:color w:val="00040D"/>
                <w:spacing w:val="0"/>
                <w:sz w:val="24"/>
                <w:szCs w:val="24"/>
                <w:highlight w:val="none"/>
                <w:shd w:val="clear" w:fill="FFFFFF"/>
                <w:lang w:val="en-US" w:eastAsia="zh-CN"/>
              </w:rPr>
              <w:t>公司目前摘帽的进展如何？</w:t>
            </w:r>
          </w:p>
          <w:p w14:paraId="1BF21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ascii="Times New Roman" w:hAnsi="Times New Roman"/>
                <w:sz w:val="24"/>
                <w:szCs w:val="24"/>
              </w:rPr>
              <w:t>答</w:t>
            </w:r>
            <w:r>
              <w:rPr>
                <w:rFonts w:hint="eastAsia" w:ascii="Times New Roman" w:hAnsi="Times New Roman"/>
                <w:sz w:val="24"/>
                <w:szCs w:val="24"/>
              </w:rPr>
              <w:t>：</w:t>
            </w:r>
            <w:r>
              <w:rPr>
                <w:rFonts w:hint="default" w:ascii="Times New Roman" w:hAnsi="Times New Roman" w:eastAsia="宋体" w:cs="Times New Roman"/>
                <w:sz w:val="24"/>
                <w:szCs w:val="24"/>
                <w:lang w:val="en-US" w:eastAsia="zh-CN"/>
              </w:rPr>
              <w:t>尊敬的投资者，您好！公司2025年度经审计扣除与主营业务无关的业务收入和不具备商业实质的收入后的营业收入高于3亿元，公司已按照相关规定向上海证券交易所提出撤销退市风险警示及其他风险警示</w:t>
            </w:r>
            <w:bookmarkStart w:id="0" w:name="_GoBack"/>
            <w:bookmarkEnd w:id="0"/>
            <w:r>
              <w:rPr>
                <w:rFonts w:hint="default" w:ascii="Times New Roman" w:hAnsi="Times New Roman" w:eastAsia="宋体" w:cs="Times New Roman"/>
                <w:sz w:val="24"/>
                <w:szCs w:val="24"/>
                <w:lang w:val="en-US" w:eastAsia="zh-CN"/>
              </w:rPr>
              <w:t>的申请。公司最终能否撤销退市风险警示请以上海证券交易所的审核意见为准。</w:t>
            </w:r>
            <w:r>
              <w:rPr>
                <w:rFonts w:hint="eastAsia" w:ascii="Times New Roman" w:hAnsi="Times New Roman" w:eastAsia="宋体" w:cs="Times New Roman"/>
                <w:sz w:val="24"/>
                <w:szCs w:val="24"/>
                <w:lang w:val="en-US" w:eastAsia="zh-CN"/>
              </w:rPr>
              <w:t>感谢您的提问</w:t>
            </w:r>
            <w:r>
              <w:rPr>
                <w:rFonts w:hint="default" w:ascii="Times New Roman" w:hAnsi="Times New Roman" w:eastAsia="宋体" w:cs="Times New Roman"/>
                <w:sz w:val="24"/>
                <w:szCs w:val="24"/>
                <w:lang w:val="en-US" w:eastAsia="zh-CN"/>
              </w:rPr>
              <w:t>！</w:t>
            </w:r>
          </w:p>
          <w:p w14:paraId="74DFA01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Times New Roman" w:hAnsi="Times New Roman" w:eastAsia="宋体" w:cs="Times New Roman"/>
                <w:sz w:val="24"/>
                <w:szCs w:val="24"/>
                <w:lang w:val="en-US" w:eastAsia="zh-CN"/>
              </w:rPr>
            </w:pPr>
          </w:p>
          <w:p w14:paraId="4189F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ascii="Times New Roman" w:hAnsi="Times New Roman"/>
                <w:sz w:val="24"/>
                <w:szCs w:val="24"/>
              </w:rPr>
              <w:t>问题三：</w:t>
            </w:r>
            <w:r>
              <w:rPr>
                <w:rFonts w:hint="default" w:ascii="Times New Roman" w:hAnsi="Times New Roman" w:eastAsia="宋体" w:cs="Times New Roman"/>
                <w:sz w:val="24"/>
                <w:szCs w:val="24"/>
                <w:highlight w:val="none"/>
                <w:lang w:val="en-US" w:eastAsia="zh-CN"/>
              </w:rPr>
              <w:t>请问公司目前现金流状况如何？</w:t>
            </w:r>
          </w:p>
          <w:p w14:paraId="4D25D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rPr>
            </w:pPr>
            <w:r>
              <w:rPr>
                <w:rFonts w:ascii="Times New Roman" w:hAnsi="Times New Roman"/>
                <w:sz w:val="24"/>
                <w:szCs w:val="24"/>
              </w:rPr>
              <w:t>答</w:t>
            </w:r>
            <w:r>
              <w:rPr>
                <w:rFonts w:hint="eastAsia" w:ascii="Times New Roman" w:hAnsi="Times New Roman"/>
                <w:sz w:val="24"/>
                <w:szCs w:val="24"/>
              </w:rPr>
              <w:t>：</w:t>
            </w:r>
            <w:r>
              <w:rPr>
                <w:rFonts w:hint="default" w:ascii="Times New Roman" w:hAnsi="Times New Roman" w:eastAsia="宋体" w:cs="Times New Roman"/>
                <w:sz w:val="24"/>
                <w:szCs w:val="24"/>
              </w:rPr>
              <w:t>尊敬的投资者您好，2025年度经营活动产生的现金流量净额为8,084.74万元，而上年同期为-3,758.51万元，由负转正，主要得益于锆钛矿业务并表及家居业务降本增效</w:t>
            </w:r>
            <w:r>
              <w:rPr>
                <w:rFonts w:hint="eastAsia" w:ascii="Times New Roman" w:hAnsi="Times New Roman" w:eastAsia="宋体" w:cs="Times New Roman"/>
                <w:sz w:val="24"/>
                <w:szCs w:val="24"/>
                <w:lang w:eastAsia="zh-CN"/>
              </w:rPr>
              <w:t>、及时收回长账龄往来款项等</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详细内容可参考2025年年报及2026年第一季度报告，</w:t>
            </w:r>
            <w:r>
              <w:rPr>
                <w:rFonts w:hint="default" w:ascii="Times New Roman" w:hAnsi="Times New Roman" w:eastAsia="宋体" w:cs="Times New Roman"/>
                <w:sz w:val="24"/>
                <w:szCs w:val="24"/>
              </w:rPr>
              <w:t>感谢您的提问！</w:t>
            </w:r>
          </w:p>
          <w:p w14:paraId="7E15A835">
            <w:pPr>
              <w:spacing w:line="360" w:lineRule="auto"/>
              <w:ind w:firstLine="480" w:firstLineChars="200"/>
              <w:rPr>
                <w:rFonts w:hint="eastAsia" w:ascii="Times New Roman" w:hAnsi="Times New Roman"/>
                <w:sz w:val="24"/>
                <w:szCs w:val="24"/>
              </w:rPr>
            </w:pPr>
          </w:p>
          <w:p w14:paraId="7ACDA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ascii="Times New Roman" w:hAnsi="Times New Roman"/>
                <w:sz w:val="24"/>
                <w:szCs w:val="24"/>
              </w:rPr>
              <w:t>问题四：</w:t>
            </w:r>
            <w:r>
              <w:rPr>
                <w:rFonts w:hint="default" w:ascii="Times New Roman" w:hAnsi="Times New Roman" w:eastAsia="宋体" w:cs="Times New Roman"/>
                <w:sz w:val="24"/>
                <w:szCs w:val="24"/>
                <w:highlight w:val="none"/>
              </w:rPr>
              <w:t>公司按照相关规定向上海证券交易所提出撤销退市风险警示及其他风险警示的申请，到20号为止上交所有无让公司提交补充材料进行说明吗？</w:t>
            </w:r>
          </w:p>
          <w:p w14:paraId="3EB9D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Times New Roman" w:hAnsi="Times New Roman"/>
                <w:sz w:val="24"/>
                <w:szCs w:val="24"/>
              </w:rPr>
              <w:t>答</w:t>
            </w:r>
            <w:r>
              <w:rPr>
                <w:rFonts w:hint="eastAsia" w:ascii="Times New Roman" w:hAnsi="Times New Roman"/>
                <w:sz w:val="24"/>
                <w:szCs w:val="24"/>
              </w:rPr>
              <w:t>：</w:t>
            </w:r>
            <w:r>
              <w:rPr>
                <w:rFonts w:hint="eastAsia" w:ascii="Times New Roman" w:hAnsi="Times New Roman" w:eastAsia="宋体" w:cs="Times New Roman"/>
                <w:b w:val="0"/>
                <w:bCs w:val="0"/>
                <w:sz w:val="24"/>
                <w:szCs w:val="24"/>
                <w:lang w:val="en-US" w:eastAsia="zh-CN"/>
              </w:rPr>
              <w:t>尊敬的投资者您好，</w:t>
            </w:r>
            <w:r>
              <w:rPr>
                <w:rFonts w:hint="default" w:ascii="Times New Roman" w:hAnsi="Times New Roman" w:eastAsia="宋体" w:cs="Times New Roman"/>
                <w:b w:val="0"/>
                <w:bCs w:val="0"/>
                <w:sz w:val="24"/>
                <w:szCs w:val="24"/>
                <w:lang w:val="en-US" w:eastAsia="zh-CN"/>
              </w:rPr>
              <w:t>公司不存在应披露而未披露的信息，相关信息请以公司指定信息披露媒体为及上海证券交易所网站</w:t>
            </w:r>
            <w:r>
              <w:rPr>
                <w:rFonts w:hint="eastAsia" w:ascii="Times New Roman" w:hAnsi="Times New Roman" w:eastAsia="宋体" w:cs="Times New Roman"/>
                <w:b w:val="0"/>
                <w:bCs w:val="0"/>
                <w:sz w:val="24"/>
                <w:szCs w:val="24"/>
                <w:lang w:val="en-US" w:eastAsia="zh-CN"/>
              </w:rPr>
              <w:t>（www.sse.com.cn）</w:t>
            </w:r>
            <w:r>
              <w:rPr>
                <w:rFonts w:hint="default" w:ascii="Times New Roman" w:hAnsi="Times New Roman" w:eastAsia="宋体" w:cs="Times New Roman"/>
                <w:b w:val="0"/>
                <w:bCs w:val="0"/>
                <w:sz w:val="24"/>
                <w:szCs w:val="24"/>
                <w:lang w:val="en-US" w:eastAsia="zh-CN"/>
              </w:rPr>
              <w:t>刊登的公告为准。</w:t>
            </w:r>
            <w:r>
              <w:rPr>
                <w:rFonts w:hint="eastAsia" w:ascii="Times New Roman" w:hAnsi="Times New Roman" w:eastAsia="宋体" w:cs="Times New Roman"/>
                <w:b w:val="0"/>
                <w:bCs w:val="0"/>
                <w:sz w:val="24"/>
                <w:szCs w:val="24"/>
                <w:lang w:val="en-US" w:eastAsia="zh-CN"/>
              </w:rPr>
              <w:t>感</w:t>
            </w:r>
            <w:r>
              <w:rPr>
                <w:rFonts w:hint="default" w:ascii="Times New Roman" w:hAnsi="Times New Roman" w:eastAsia="宋体" w:cs="Times New Roman"/>
                <w:b w:val="0"/>
                <w:bCs w:val="0"/>
                <w:sz w:val="24"/>
                <w:szCs w:val="24"/>
              </w:rPr>
              <w:t>谢</w:t>
            </w:r>
            <w:r>
              <w:rPr>
                <w:rFonts w:hint="eastAsia" w:ascii="Times New Roman" w:hAnsi="Times New Roman" w:eastAsia="宋体" w:cs="Times New Roman"/>
                <w:b w:val="0"/>
                <w:bCs w:val="0"/>
                <w:sz w:val="24"/>
                <w:szCs w:val="24"/>
                <w:lang w:val="en-US" w:eastAsia="zh-CN"/>
              </w:rPr>
              <w:t>您的提问</w:t>
            </w:r>
            <w:r>
              <w:rPr>
                <w:rFonts w:hint="default" w:ascii="Times New Roman" w:hAnsi="Times New Roman" w:eastAsia="宋体" w:cs="Times New Roman"/>
                <w:b w:val="0"/>
                <w:bCs w:val="0"/>
                <w:sz w:val="24"/>
                <w:szCs w:val="24"/>
              </w:rPr>
              <w:t>！</w:t>
            </w:r>
          </w:p>
        </w:tc>
      </w:tr>
      <w:tr w14:paraId="5C85EE19">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9296F1E">
            <w:pPr>
              <w:widowControl/>
              <w:spacing w:before="156" w:beforeLines="50" w:line="360" w:lineRule="auto"/>
              <w:jc w:val="center"/>
              <w:rPr>
                <w:rFonts w:ascii="宋体" w:cs="宋体"/>
                <w:b/>
                <w:bCs/>
                <w:kern w:val="0"/>
                <w:sz w:val="24"/>
              </w:rPr>
            </w:pPr>
            <w:r>
              <w:rPr>
                <w:rFonts w:hint="eastAsia" w:ascii="宋体" w:hAnsi="宋体" w:cs="宋体"/>
                <w:b/>
                <w:bCs/>
                <w:kern w:val="0"/>
                <w:sz w:val="24"/>
              </w:rPr>
              <w:t>附件清单    （如有）</w:t>
            </w:r>
          </w:p>
        </w:tc>
        <w:tc>
          <w:tcPr>
            <w:tcW w:w="6571" w:type="dxa"/>
            <w:gridSpan w:val="2"/>
            <w:tcBorders>
              <w:top w:val="single" w:color="000000" w:sz="4" w:space="0"/>
              <w:left w:val="nil"/>
              <w:bottom w:val="single" w:color="000000" w:sz="4" w:space="0"/>
              <w:right w:val="single" w:color="000000" w:sz="4" w:space="0"/>
            </w:tcBorders>
            <w:vAlign w:val="center"/>
          </w:tcPr>
          <w:p w14:paraId="12A00BD5">
            <w:pPr>
              <w:widowControl/>
              <w:spacing w:line="360" w:lineRule="auto"/>
              <w:rPr>
                <w:rFonts w:ascii="宋体" w:hAnsi="宋体"/>
                <w:sz w:val="24"/>
                <w:szCs w:val="24"/>
              </w:rPr>
            </w:pPr>
            <w:r>
              <w:rPr>
                <w:rFonts w:hint="eastAsia" w:ascii="宋体" w:hAnsi="宋体"/>
                <w:sz w:val="24"/>
                <w:szCs w:val="24"/>
              </w:rPr>
              <w:t>无</w:t>
            </w:r>
          </w:p>
        </w:tc>
      </w:tr>
      <w:tr w14:paraId="2F709729">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E80BDFD">
            <w:pPr>
              <w:widowControl/>
              <w:spacing w:before="156" w:beforeLines="50" w:line="360" w:lineRule="auto"/>
              <w:jc w:val="center"/>
              <w:rPr>
                <w:rFonts w:ascii="宋体" w:cs="宋体"/>
                <w:b/>
                <w:bCs/>
                <w:kern w:val="0"/>
                <w:sz w:val="24"/>
              </w:rPr>
            </w:pPr>
            <w:r>
              <w:rPr>
                <w:rFonts w:hint="eastAsia" w:ascii="宋体" w:hAnsi="宋体" w:cs="宋体"/>
                <w:b/>
                <w:bCs/>
                <w:kern w:val="0"/>
                <w:sz w:val="24"/>
              </w:rPr>
              <w:t>日期</w:t>
            </w:r>
          </w:p>
        </w:tc>
        <w:tc>
          <w:tcPr>
            <w:tcW w:w="6571" w:type="dxa"/>
            <w:gridSpan w:val="2"/>
            <w:tcBorders>
              <w:top w:val="single" w:color="000000" w:sz="4" w:space="0"/>
              <w:left w:val="nil"/>
              <w:bottom w:val="single" w:color="000000" w:sz="4" w:space="0"/>
              <w:right w:val="single" w:color="000000" w:sz="4" w:space="0"/>
            </w:tcBorders>
            <w:vAlign w:val="center"/>
          </w:tcPr>
          <w:p w14:paraId="0613C88E">
            <w:pPr>
              <w:widowControl/>
              <w:spacing w:before="156" w:beforeLines="50" w:line="360" w:lineRule="auto"/>
              <w:rPr>
                <w:rFonts w:ascii="Times New Roman" w:hAnsi="Times New Roman"/>
                <w:sz w:val="24"/>
                <w:szCs w:val="24"/>
              </w:rPr>
            </w:pPr>
            <w:r>
              <w:rPr>
                <w:rFonts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rPr>
              <w:t>2</w:t>
            </w:r>
            <w:r>
              <w:rPr>
                <w:rFonts w:hint="eastAsia" w:ascii="Times New Roman" w:hAnsi="Times New Roman"/>
                <w:sz w:val="24"/>
                <w:szCs w:val="24"/>
                <w:lang w:val="en-US" w:eastAsia="zh-CN"/>
              </w:rPr>
              <w:t>0</w:t>
            </w:r>
            <w:r>
              <w:rPr>
                <w:rFonts w:ascii="Times New Roman" w:hAnsi="Times New Roman"/>
                <w:sz w:val="24"/>
                <w:szCs w:val="24"/>
              </w:rPr>
              <w:t>日</w:t>
            </w:r>
          </w:p>
        </w:tc>
      </w:tr>
    </w:tbl>
    <w:p w14:paraId="2BB947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EA"/>
    <w:rsid w:val="00003868"/>
    <w:rsid w:val="000A1139"/>
    <w:rsid w:val="000A1A95"/>
    <w:rsid w:val="000D6496"/>
    <w:rsid w:val="00125E73"/>
    <w:rsid w:val="00141BF0"/>
    <w:rsid w:val="00145D23"/>
    <w:rsid w:val="001713D1"/>
    <w:rsid w:val="00190366"/>
    <w:rsid w:val="001912CA"/>
    <w:rsid w:val="001A2B28"/>
    <w:rsid w:val="001A4644"/>
    <w:rsid w:val="001C4F19"/>
    <w:rsid w:val="001C688C"/>
    <w:rsid w:val="001F28AA"/>
    <w:rsid w:val="002021E8"/>
    <w:rsid w:val="00210AD6"/>
    <w:rsid w:val="002165C6"/>
    <w:rsid w:val="00225F06"/>
    <w:rsid w:val="00244EB1"/>
    <w:rsid w:val="00257E04"/>
    <w:rsid w:val="0028676F"/>
    <w:rsid w:val="0028699C"/>
    <w:rsid w:val="00297571"/>
    <w:rsid w:val="002B1083"/>
    <w:rsid w:val="002D0D3D"/>
    <w:rsid w:val="003030C7"/>
    <w:rsid w:val="00323514"/>
    <w:rsid w:val="0032706A"/>
    <w:rsid w:val="00343C64"/>
    <w:rsid w:val="00352ECB"/>
    <w:rsid w:val="0037047D"/>
    <w:rsid w:val="003A5A2C"/>
    <w:rsid w:val="003A7586"/>
    <w:rsid w:val="003B0FA9"/>
    <w:rsid w:val="003B35CE"/>
    <w:rsid w:val="003D3414"/>
    <w:rsid w:val="003F227F"/>
    <w:rsid w:val="003F6B45"/>
    <w:rsid w:val="004010EC"/>
    <w:rsid w:val="00403FC5"/>
    <w:rsid w:val="00414936"/>
    <w:rsid w:val="0043033B"/>
    <w:rsid w:val="004314CE"/>
    <w:rsid w:val="004C0FFE"/>
    <w:rsid w:val="0051039C"/>
    <w:rsid w:val="00515230"/>
    <w:rsid w:val="005516A7"/>
    <w:rsid w:val="00575342"/>
    <w:rsid w:val="0059501E"/>
    <w:rsid w:val="005B7126"/>
    <w:rsid w:val="005C057E"/>
    <w:rsid w:val="00635664"/>
    <w:rsid w:val="006548F7"/>
    <w:rsid w:val="006742FE"/>
    <w:rsid w:val="006866D4"/>
    <w:rsid w:val="00694B76"/>
    <w:rsid w:val="006A76CC"/>
    <w:rsid w:val="006B50C1"/>
    <w:rsid w:val="00717FBA"/>
    <w:rsid w:val="007538ED"/>
    <w:rsid w:val="0075402D"/>
    <w:rsid w:val="007803A7"/>
    <w:rsid w:val="007808EA"/>
    <w:rsid w:val="00790828"/>
    <w:rsid w:val="007B0EDA"/>
    <w:rsid w:val="007B42DB"/>
    <w:rsid w:val="007D5DFB"/>
    <w:rsid w:val="007F7BD7"/>
    <w:rsid w:val="00801CA8"/>
    <w:rsid w:val="008053ED"/>
    <w:rsid w:val="0081376A"/>
    <w:rsid w:val="00815735"/>
    <w:rsid w:val="00825FB8"/>
    <w:rsid w:val="00856C21"/>
    <w:rsid w:val="0086010B"/>
    <w:rsid w:val="008717A4"/>
    <w:rsid w:val="00874994"/>
    <w:rsid w:val="0088752E"/>
    <w:rsid w:val="00890045"/>
    <w:rsid w:val="008C35F2"/>
    <w:rsid w:val="008F71C4"/>
    <w:rsid w:val="009053EF"/>
    <w:rsid w:val="00911734"/>
    <w:rsid w:val="00923998"/>
    <w:rsid w:val="00930409"/>
    <w:rsid w:val="00947279"/>
    <w:rsid w:val="00950B53"/>
    <w:rsid w:val="009724A7"/>
    <w:rsid w:val="009726F8"/>
    <w:rsid w:val="00994DB2"/>
    <w:rsid w:val="009D48E3"/>
    <w:rsid w:val="00A05526"/>
    <w:rsid w:val="00A10754"/>
    <w:rsid w:val="00A10BA8"/>
    <w:rsid w:val="00A229D7"/>
    <w:rsid w:val="00A24E9C"/>
    <w:rsid w:val="00A62915"/>
    <w:rsid w:val="00A6665F"/>
    <w:rsid w:val="00A76084"/>
    <w:rsid w:val="00A84C52"/>
    <w:rsid w:val="00A85B39"/>
    <w:rsid w:val="00A9124F"/>
    <w:rsid w:val="00AB0C67"/>
    <w:rsid w:val="00AB5BE0"/>
    <w:rsid w:val="00AC7615"/>
    <w:rsid w:val="00AD6295"/>
    <w:rsid w:val="00AE57CD"/>
    <w:rsid w:val="00B372AB"/>
    <w:rsid w:val="00B401D3"/>
    <w:rsid w:val="00B4594C"/>
    <w:rsid w:val="00B51EA6"/>
    <w:rsid w:val="00B6360B"/>
    <w:rsid w:val="00B90617"/>
    <w:rsid w:val="00BA3FA1"/>
    <w:rsid w:val="00BD1687"/>
    <w:rsid w:val="00BF6002"/>
    <w:rsid w:val="00C5490A"/>
    <w:rsid w:val="00C8142A"/>
    <w:rsid w:val="00C971C4"/>
    <w:rsid w:val="00CA1577"/>
    <w:rsid w:val="00CB7BEB"/>
    <w:rsid w:val="00CC2519"/>
    <w:rsid w:val="00CC7D2F"/>
    <w:rsid w:val="00CD6CCD"/>
    <w:rsid w:val="00D0015B"/>
    <w:rsid w:val="00D03270"/>
    <w:rsid w:val="00D12B2C"/>
    <w:rsid w:val="00D31A83"/>
    <w:rsid w:val="00D50347"/>
    <w:rsid w:val="00DD3B0E"/>
    <w:rsid w:val="00DE10F6"/>
    <w:rsid w:val="00E139B4"/>
    <w:rsid w:val="00E32D9B"/>
    <w:rsid w:val="00E51227"/>
    <w:rsid w:val="00E72EBC"/>
    <w:rsid w:val="00EE670B"/>
    <w:rsid w:val="00F12784"/>
    <w:rsid w:val="00F6510F"/>
    <w:rsid w:val="00FA4063"/>
    <w:rsid w:val="00FB052B"/>
    <w:rsid w:val="00FB51F4"/>
    <w:rsid w:val="00FD024F"/>
    <w:rsid w:val="00FE695A"/>
    <w:rsid w:val="14A66120"/>
    <w:rsid w:val="1D0A376C"/>
    <w:rsid w:val="1FE87F35"/>
    <w:rsid w:val="3EC9405B"/>
    <w:rsid w:val="46B34549"/>
    <w:rsid w:val="4CDB5302"/>
    <w:rsid w:val="59E57513"/>
    <w:rsid w:val="638135AD"/>
    <w:rsid w:val="68372214"/>
    <w:rsid w:val="6A1715DC"/>
    <w:rsid w:val="74FD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563C1"/>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rFonts w:ascii="Calibri" w:hAnsi="Calibri" w:eastAsia="宋体" w:cs="Times New Roman"/>
      <w:sz w:val="18"/>
      <w:szCs w:val="18"/>
      <w14:ligatures w14:val="none"/>
    </w:rPr>
  </w:style>
  <w:style w:type="character" w:customStyle="1" w:styleId="14">
    <w:name w:val="页脚 字符"/>
    <w:basedOn w:val="10"/>
    <w:link w:val="4"/>
    <w:qFormat/>
    <w:uiPriority w:val="99"/>
    <w:rPr>
      <w:rFonts w:ascii="Calibri" w:hAnsi="Calibri" w:eastAsia="宋体" w:cs="Times New Roman"/>
      <w:sz w:val="18"/>
      <w:szCs w:val="18"/>
      <w14:ligatures w14:val="none"/>
    </w:rPr>
  </w:style>
  <w:style w:type="character" w:customStyle="1" w:styleId="15">
    <w:name w:val="HTML 预设格式 字符"/>
    <w:basedOn w:val="10"/>
    <w:link w:val="6"/>
    <w:semiHidden/>
    <w:qFormat/>
    <w:uiPriority w:val="99"/>
    <w:rPr>
      <w:rFonts w:ascii="宋体" w:hAnsi="宋体" w:eastAsia="宋体" w:cs="宋体"/>
      <w:kern w:val="0"/>
      <w:sz w:val="24"/>
      <w:szCs w:val="24"/>
      <w14:ligatures w14:val="none"/>
    </w:rPr>
  </w:style>
  <w:style w:type="character" w:customStyle="1" w:styleId="16">
    <w:name w:val="批注文字 字符"/>
    <w:basedOn w:val="10"/>
    <w:link w:val="2"/>
    <w:semiHidden/>
    <w:qFormat/>
    <w:uiPriority w:val="99"/>
    <w:rPr>
      <w:rFonts w:ascii="Calibri" w:hAnsi="Calibri" w:eastAsia="宋体" w:cs="Times New Roman"/>
      <w:kern w:val="2"/>
      <w:sz w:val="21"/>
      <w:szCs w:val="22"/>
    </w:rPr>
  </w:style>
  <w:style w:type="character" w:customStyle="1" w:styleId="17">
    <w:name w:val="批注主题 字符"/>
    <w:basedOn w:val="16"/>
    <w:link w:val="7"/>
    <w:semiHidden/>
    <w:qFormat/>
    <w:uiPriority w:val="99"/>
    <w:rPr>
      <w:rFonts w:ascii="Calibri" w:hAnsi="Calibri" w:eastAsia="宋体" w:cs="Times New Roman"/>
      <w:b/>
      <w:bCs/>
      <w:kern w:val="2"/>
      <w:sz w:val="21"/>
      <w:szCs w:val="22"/>
    </w:rPr>
  </w:style>
  <w:style w:type="character" w:customStyle="1" w:styleId="18">
    <w:name w:val="批注框文本 字符"/>
    <w:basedOn w:val="10"/>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288</Words>
  <Characters>362</Characters>
  <Lines>9</Lines>
  <Paragraphs>2</Paragraphs>
  <TotalTime>2</TotalTime>
  <ScaleCrop>false</ScaleCrop>
  <LinksUpToDate>false</LinksUpToDate>
  <CharactersWithSpaces>401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2025-06-12T06:37:00Z</dcterms:created>
  <dc:creator>Administrator</dc:creator>
  <cp:lastModifiedBy>Rosie</cp:lastModifiedBy>
  <dcterms:modified xsi:type="dcterms:W3CDTF">2026-05-20T09:23:44Z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eyJoZGlkIjoiYjQ4MjAxMzQ3OGI3NDNmYTEzNzNhZmUwMjU1YTc3N2QiLCJ1c2VySWQiOiIxMDYyMjg4MDE0In0=</vt:lpwstr>
  </property>
  <property fmtid="{D5CDD505-2E9C-101B-9397-08002B2CF9AE}" pid="3" name="KSOProductBuildVer">
    <vt:lpwstr>2052-12.1.0.26375</vt:lpwstr>
  </property>
  <property fmtid="{D5CDD505-2E9C-101B-9397-08002B2CF9AE}" pid="4" name="ICV">
    <vt:lpwstr>2E237DE85F39444D9248BF025C1D7EE0_12</vt:lpwstr>
  </property>
</Properties>
</file>