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2FC36">
      <w:pPr>
        <w:adjustRightInd w:val="0"/>
        <w:snapToGrid w:val="0"/>
        <w:jc w:val="left"/>
        <w:rPr>
          <w:rFonts w:eastAsia="仿宋"/>
          <w:sz w:val="24"/>
          <w:szCs w:val="24"/>
        </w:rPr>
      </w:pPr>
      <w:r>
        <w:rPr>
          <w:rFonts w:eastAsia="仿宋"/>
          <w:sz w:val="24"/>
          <w:szCs w:val="24"/>
        </w:rPr>
        <w:t>证券代码：603517                                   证券简称：</w:t>
      </w:r>
      <w:r>
        <w:rPr>
          <w:rFonts w:hint="eastAsia" w:eastAsia="仿宋"/>
          <w:sz w:val="24"/>
          <w:szCs w:val="24"/>
          <w:lang w:val="en-US" w:eastAsia="zh-CN"/>
        </w:rPr>
        <w:t>ST</w:t>
      </w:r>
      <w:r>
        <w:rPr>
          <w:rFonts w:eastAsia="仿宋"/>
          <w:sz w:val="24"/>
          <w:szCs w:val="24"/>
        </w:rPr>
        <w:t>绝味</w:t>
      </w:r>
    </w:p>
    <w:p w14:paraId="6A82D413">
      <w:pPr>
        <w:adjustRightInd w:val="0"/>
        <w:snapToGrid w:val="0"/>
        <w:ind w:firstLine="640" w:firstLineChars="200"/>
        <w:jc w:val="left"/>
        <w:rPr>
          <w:rFonts w:eastAsia="仿宋"/>
          <w:sz w:val="32"/>
          <w:szCs w:val="32"/>
        </w:rPr>
      </w:pPr>
    </w:p>
    <w:p w14:paraId="2F582DA6">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pPr>
        <w:autoSpaceDE w:val="0"/>
        <w:autoSpaceDN w:val="0"/>
        <w:adjustRightInd w:val="0"/>
        <w:snapToGrid w:val="0"/>
        <w:spacing w:line="360" w:lineRule="auto"/>
        <w:jc w:val="center"/>
        <w:rPr>
          <w:rFonts w:eastAsia="仿宋"/>
          <w:color w:val="000000"/>
          <w:sz w:val="24"/>
          <w:szCs w:val="24"/>
        </w:rPr>
      </w:pPr>
      <w:r>
        <w:rPr>
          <w:rFonts w:hint="eastAsia" w:eastAsia="仿宋"/>
          <w:b/>
          <w:bCs/>
          <w:color w:val="FF0000"/>
          <w:sz w:val="30"/>
          <w:szCs w:val="30"/>
        </w:rPr>
        <w:t>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297"/>
      </w:tblGrid>
      <w:tr w14:paraId="53F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6902E86F">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w:t>
            </w:r>
          </w:p>
          <w:p w14:paraId="2961BF5D">
            <w:pPr>
              <w:adjustRightInd w:val="0"/>
              <w:snapToGrid w:val="0"/>
              <w:spacing w:line="360" w:lineRule="auto"/>
              <w:jc w:val="center"/>
              <w:rPr>
                <w:rFonts w:eastAsia="仿宋"/>
                <w:color w:val="000000"/>
                <w:sz w:val="24"/>
                <w:szCs w:val="24"/>
              </w:rPr>
            </w:pPr>
            <w:r>
              <w:rPr>
                <w:rFonts w:hint="eastAsia" w:eastAsia="仿宋"/>
                <w:color w:val="000000"/>
                <w:sz w:val="24"/>
                <w:szCs w:val="24"/>
              </w:rPr>
              <w:t>活动类别</w:t>
            </w:r>
          </w:p>
        </w:tc>
        <w:tc>
          <w:tcPr>
            <w:tcW w:w="6297" w:type="dxa"/>
            <w:vAlign w:val="center"/>
          </w:tcPr>
          <w:p w14:paraId="2C372A0C">
            <w:pPr>
              <w:adjustRightInd w:val="0"/>
              <w:snapToGrid w:val="0"/>
              <w:spacing w:line="360" w:lineRule="auto"/>
              <w:jc w:val="center"/>
              <w:rPr>
                <w:rFonts w:eastAsia="仿宋"/>
                <w:color w:val="000000"/>
                <w:sz w:val="24"/>
                <w:szCs w:val="24"/>
              </w:rPr>
            </w:pPr>
            <w:r>
              <w:rPr>
                <w:rFonts w:hint="eastAsia" w:eastAsia="仿宋"/>
                <w:color w:val="000000"/>
                <w:sz w:val="24"/>
                <w:szCs w:val="24"/>
                <w:lang w:eastAsia="zh-CN"/>
              </w:rPr>
              <w:t>□</w:t>
            </w:r>
            <w:r>
              <w:rPr>
                <w:rFonts w:hint="eastAsia" w:eastAsia="仿宋"/>
                <w:color w:val="000000"/>
                <w:sz w:val="24"/>
                <w:szCs w:val="24"/>
              </w:rPr>
              <w:t xml:space="preserve"> 特定对象调研   </w:t>
            </w:r>
            <w:r>
              <w:rPr>
                <w:rFonts w:hint="eastAsia" w:eastAsia="仿宋"/>
                <w:color w:val="000000"/>
                <w:sz w:val="24"/>
                <w:szCs w:val="24"/>
                <w:lang w:eastAsia="zh-CN"/>
              </w:rPr>
              <w:t>□</w:t>
            </w:r>
            <w:r>
              <w:rPr>
                <w:rFonts w:hint="eastAsia" w:eastAsia="仿宋"/>
                <w:color w:val="000000"/>
                <w:sz w:val="24"/>
                <w:szCs w:val="24"/>
              </w:rPr>
              <w:t xml:space="preserve"> 业绩说明会   □ 媒体采访</w:t>
            </w:r>
          </w:p>
          <w:p w14:paraId="4EA7C90D">
            <w:pPr>
              <w:adjustRightInd w:val="0"/>
              <w:snapToGrid w:val="0"/>
              <w:spacing w:line="360" w:lineRule="auto"/>
              <w:jc w:val="center"/>
              <w:rPr>
                <w:rFonts w:eastAsia="仿宋"/>
                <w:color w:val="000000"/>
                <w:sz w:val="24"/>
                <w:szCs w:val="24"/>
              </w:rPr>
            </w:pPr>
            <w:r>
              <w:rPr>
                <w:rFonts w:hint="eastAsia" w:eastAsia="仿宋"/>
                <w:color w:val="000000"/>
                <w:sz w:val="24"/>
                <w:szCs w:val="24"/>
              </w:rPr>
              <w:t>□ 现场参观   □ 新闻发布会   □ 分析师会议</w:t>
            </w:r>
          </w:p>
          <w:p w14:paraId="2AAC0D22">
            <w:pPr>
              <w:adjustRightInd w:val="0"/>
              <w:snapToGrid w:val="0"/>
              <w:spacing w:line="360" w:lineRule="auto"/>
              <w:jc w:val="center"/>
              <w:rPr>
                <w:rFonts w:eastAsia="仿宋"/>
                <w:color w:val="000000"/>
                <w:sz w:val="24"/>
                <w:szCs w:val="24"/>
              </w:rPr>
            </w:pPr>
            <w:r>
              <w:rPr>
                <w:rFonts w:hint="eastAsia" w:eastAsia="仿宋"/>
                <w:color w:val="000000"/>
                <w:sz w:val="24"/>
                <w:szCs w:val="24"/>
              </w:rPr>
              <w:t xml:space="preserve">□ 路演活动    </w:t>
            </w:r>
            <w:r>
              <w:rPr>
                <w:rFonts w:hint="eastAsia" w:eastAsia="仿宋"/>
                <w:color w:val="000000"/>
                <w:sz w:val="24"/>
                <w:szCs w:val="24"/>
                <w:lang w:eastAsia="zh-CN"/>
              </w:rPr>
              <w:t>☑</w:t>
            </w:r>
            <w:r>
              <w:rPr>
                <w:rFonts w:hint="eastAsia" w:eastAsia="仿宋"/>
                <w:color w:val="000000"/>
                <w:sz w:val="24"/>
                <w:szCs w:val="24"/>
              </w:rPr>
              <w:t xml:space="preserve"> 其他</w:t>
            </w:r>
          </w:p>
        </w:tc>
      </w:tr>
      <w:tr w14:paraId="45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7694C6E">
            <w:pPr>
              <w:adjustRightInd w:val="0"/>
              <w:snapToGrid w:val="0"/>
              <w:spacing w:line="360" w:lineRule="auto"/>
              <w:jc w:val="center"/>
              <w:rPr>
                <w:rFonts w:eastAsia="仿宋"/>
                <w:color w:val="000000"/>
                <w:sz w:val="24"/>
                <w:szCs w:val="24"/>
              </w:rPr>
            </w:pPr>
            <w:r>
              <w:rPr>
                <w:rFonts w:hint="eastAsia" w:eastAsia="仿宋"/>
                <w:color w:val="000000"/>
                <w:sz w:val="24"/>
                <w:szCs w:val="24"/>
              </w:rPr>
              <w:t>参与单位/个人名称</w:t>
            </w:r>
          </w:p>
        </w:tc>
        <w:tc>
          <w:tcPr>
            <w:tcW w:w="6297" w:type="dxa"/>
            <w:vAlign w:val="center"/>
          </w:tcPr>
          <w:p w14:paraId="3CA35D7D">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国泰海通证券</w:t>
            </w:r>
          </w:p>
          <w:p w14:paraId="00ADF18B">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兴证全球基金</w:t>
            </w:r>
          </w:p>
        </w:tc>
      </w:tr>
      <w:tr w14:paraId="2FC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3B065E4">
            <w:pPr>
              <w:adjustRightInd w:val="0"/>
              <w:snapToGrid w:val="0"/>
              <w:spacing w:line="360" w:lineRule="auto"/>
              <w:jc w:val="center"/>
              <w:rPr>
                <w:rFonts w:eastAsia="仿宋"/>
                <w:color w:val="000000"/>
                <w:sz w:val="24"/>
                <w:szCs w:val="24"/>
              </w:rPr>
            </w:pPr>
            <w:r>
              <w:rPr>
                <w:rFonts w:hint="eastAsia" w:eastAsia="仿宋"/>
                <w:color w:val="000000"/>
                <w:sz w:val="24"/>
                <w:szCs w:val="24"/>
              </w:rPr>
              <w:t>时间</w:t>
            </w:r>
          </w:p>
        </w:tc>
        <w:tc>
          <w:tcPr>
            <w:tcW w:w="6297" w:type="dxa"/>
            <w:vAlign w:val="center"/>
          </w:tcPr>
          <w:p w14:paraId="314F0836">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rPr>
              <w:t>202</w:t>
            </w:r>
            <w:r>
              <w:rPr>
                <w:rFonts w:hint="eastAsia" w:eastAsia="仿宋"/>
                <w:color w:val="000000"/>
                <w:sz w:val="24"/>
                <w:szCs w:val="24"/>
                <w:lang w:val="en-US" w:eastAsia="zh-CN"/>
              </w:rPr>
              <w:t>6</w:t>
            </w:r>
            <w:r>
              <w:rPr>
                <w:rFonts w:hint="eastAsia" w:eastAsia="仿宋"/>
                <w:color w:val="000000"/>
                <w:sz w:val="24"/>
                <w:szCs w:val="24"/>
              </w:rPr>
              <w:t>年</w:t>
            </w:r>
            <w:r>
              <w:rPr>
                <w:rFonts w:hint="eastAsia" w:eastAsia="仿宋"/>
                <w:color w:val="000000"/>
                <w:sz w:val="24"/>
                <w:szCs w:val="24"/>
                <w:lang w:val="en-US" w:eastAsia="zh-CN"/>
              </w:rPr>
              <w:t>5</w:t>
            </w:r>
            <w:r>
              <w:rPr>
                <w:rFonts w:hint="eastAsia" w:eastAsia="仿宋"/>
                <w:color w:val="000000"/>
                <w:sz w:val="24"/>
                <w:szCs w:val="24"/>
              </w:rPr>
              <w:t>月</w:t>
            </w:r>
            <w:r>
              <w:rPr>
                <w:rFonts w:hint="eastAsia" w:eastAsia="仿宋"/>
                <w:color w:val="000000"/>
                <w:sz w:val="24"/>
                <w:szCs w:val="24"/>
                <w:lang w:val="en-US" w:eastAsia="zh-CN"/>
              </w:rPr>
              <w:t>21日</w:t>
            </w:r>
          </w:p>
        </w:tc>
      </w:tr>
      <w:tr w14:paraId="0A2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6A28D5F">
            <w:pPr>
              <w:adjustRightInd w:val="0"/>
              <w:snapToGrid w:val="0"/>
              <w:spacing w:line="360" w:lineRule="auto"/>
              <w:jc w:val="center"/>
              <w:rPr>
                <w:rFonts w:eastAsia="仿宋"/>
                <w:color w:val="000000"/>
                <w:sz w:val="24"/>
                <w:szCs w:val="24"/>
              </w:rPr>
            </w:pPr>
            <w:r>
              <w:rPr>
                <w:rFonts w:hint="eastAsia" w:eastAsia="仿宋"/>
                <w:color w:val="000000"/>
                <w:sz w:val="24"/>
                <w:szCs w:val="24"/>
              </w:rPr>
              <w:t>地点</w:t>
            </w:r>
          </w:p>
        </w:tc>
        <w:tc>
          <w:tcPr>
            <w:tcW w:w="6297" w:type="dxa"/>
            <w:vAlign w:val="center"/>
          </w:tcPr>
          <w:p w14:paraId="3F56D075">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线上</w:t>
            </w:r>
          </w:p>
        </w:tc>
      </w:tr>
      <w:tr w14:paraId="2B9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9F6CA7E">
            <w:pPr>
              <w:adjustRightInd w:val="0"/>
              <w:snapToGrid w:val="0"/>
              <w:spacing w:line="360" w:lineRule="auto"/>
              <w:jc w:val="center"/>
              <w:rPr>
                <w:rFonts w:eastAsia="仿宋"/>
                <w:color w:val="000000"/>
                <w:sz w:val="24"/>
                <w:szCs w:val="24"/>
              </w:rPr>
            </w:pPr>
            <w:r>
              <w:rPr>
                <w:rFonts w:hint="eastAsia" w:eastAsia="仿宋"/>
                <w:color w:val="000000"/>
                <w:sz w:val="24"/>
                <w:szCs w:val="24"/>
              </w:rPr>
              <w:t>上市公司接待人员</w:t>
            </w:r>
          </w:p>
        </w:tc>
        <w:tc>
          <w:tcPr>
            <w:tcW w:w="6297" w:type="dxa"/>
            <w:vAlign w:val="center"/>
          </w:tcPr>
          <w:p w14:paraId="01AC89A1">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副总裁兼董事会秘书   廖  凯</w:t>
            </w:r>
          </w:p>
        </w:tc>
      </w:tr>
      <w:tr w14:paraId="77D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62A37B0">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投资者关系活动主要内容</w:t>
            </w:r>
          </w:p>
          <w:p w14:paraId="1676DD07">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1、近期行业情况</w:t>
            </w:r>
          </w:p>
          <w:p w14:paraId="0502A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近年来，受宏观消费环境、消费习惯变化及行业竞争加剧等因素影响，行业整体从高速扩张阶段逐步转向精细化运营阶段。消费者更加关注产品品质、性价比、便利性和消费场景，行业竞争也从单纯门店数量扩张，转向供应链效率、产品创新、门店运营能力、品牌力和数字化能力的综合竞争。整体来看，卤制品仍具备较高频、即时消费和场景化消费属性，但企业需要更加重视单店质量、产品结构优化和经营效率提升。</w:t>
            </w:r>
          </w:p>
          <w:p w14:paraId="095040D5">
            <w:pPr>
              <w:adjustRightInd w:val="0"/>
              <w:snapToGrid w:val="0"/>
              <w:spacing w:line="360" w:lineRule="auto"/>
              <w:ind w:firstLine="480" w:firstLineChars="200"/>
              <w:jc w:val="left"/>
              <w:rPr>
                <w:rFonts w:hint="eastAsia" w:eastAsia="仿宋"/>
                <w:color w:val="000000"/>
                <w:sz w:val="24"/>
                <w:szCs w:val="24"/>
                <w:lang w:val="en-US" w:eastAsia="zh-CN"/>
              </w:rPr>
            </w:pPr>
          </w:p>
          <w:p w14:paraId="79114BC0">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2、绝味新鲜零食情况</w:t>
            </w:r>
          </w:p>
          <w:p w14:paraId="42D40451">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新鲜零食是公司基于现有供应链、冷链配送、门店运营和产品研发能力进行的新业务探索，核心方向是围绕消费者对“新鲜、便捷、多品类、高性价比”的需求，拓展更丰富的即食及短保类产品场景。目前该业务仍处于模式验证和探索阶段，公司会结合试点情况持续评估产品结构、门店模型、供应链适配及盈利能力，不会简单追求规模扩张，而是以经营质量和长期可持续为前提稳步推进。</w:t>
            </w:r>
          </w:p>
          <w:p w14:paraId="6AF83338">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（目前新鲜零食尚</w:t>
            </w:r>
            <w:bookmarkStart w:id="0" w:name="_GoBack"/>
            <w:bookmarkEnd w:id="0"/>
            <w:r>
              <w:rPr>
                <w:rFonts w:hint="eastAsia" w:eastAsia="仿宋"/>
                <w:color w:val="000000"/>
                <w:sz w:val="24"/>
                <w:szCs w:val="24"/>
                <w:lang w:val="en-US" w:eastAsia="zh-CN"/>
              </w:rPr>
              <w:t>处于探索阶段，请投资者谨慎投资，注意投资风险。）</w:t>
            </w:r>
          </w:p>
          <w:p w14:paraId="03848808">
            <w:pPr>
              <w:adjustRightInd w:val="0"/>
              <w:snapToGrid w:val="0"/>
              <w:spacing w:line="360" w:lineRule="auto"/>
              <w:ind w:firstLine="480" w:firstLineChars="200"/>
              <w:jc w:val="left"/>
              <w:rPr>
                <w:rFonts w:hint="eastAsia" w:eastAsia="仿宋"/>
                <w:color w:val="000000"/>
                <w:sz w:val="24"/>
                <w:szCs w:val="24"/>
                <w:lang w:val="en-US" w:eastAsia="zh-CN"/>
              </w:rPr>
            </w:pPr>
          </w:p>
          <w:p w14:paraId="014B8CDF">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3、主业门店情况</w:t>
            </w:r>
          </w:p>
          <w:p w14:paraId="1D14EFCD">
            <w:pPr>
              <w:adjustRightInd w:val="0"/>
              <w:snapToGrid w:val="0"/>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公司聚焦卤味赛道，依托全国化供应链、冷链配送体系和标准化门店运营能力，已形成覆盖全国的万店连锁网络。公司将继续围绕主业经营，持续提升门店运营质量、供应链效率和终端服务能力。</w:t>
            </w:r>
          </w:p>
          <w:p w14:paraId="32CC5736">
            <w:pPr>
              <w:adjustRightInd w:val="0"/>
              <w:snapToGrid w:val="0"/>
              <w:spacing w:line="360" w:lineRule="auto"/>
              <w:ind w:firstLine="480" w:firstLineChars="200"/>
              <w:jc w:val="left"/>
              <w:rPr>
                <w:rFonts w:hint="default" w:ascii="仿宋" w:hAnsi="仿宋" w:eastAsia="仿宋" w:cs="仿宋"/>
                <w:color w:val="000000" w:themeColor="text1"/>
                <w:sz w:val="24"/>
                <w:szCs w:val="24"/>
                <w:lang w:val="en-US" w:eastAsia="zh-CN"/>
                <w14:textFill>
                  <w14:solidFill>
                    <w14:schemeClr w14:val="tx1"/>
                  </w14:solidFill>
                </w14:textFill>
              </w:rPr>
            </w:pPr>
          </w:p>
          <w:p w14:paraId="428ED069">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4、股权激励</w:t>
            </w:r>
          </w:p>
          <w:p w14:paraId="439A789B">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公司深知有效的激励机制对团队的重要性，公司将根据实际经营情况结合相关法律法规规定审慎评估实施股权激励时机，如有相关计划将及时履行相应审议程序和信息披露义务。</w:t>
            </w:r>
          </w:p>
          <w:p w14:paraId="5BD9495A">
            <w:pPr>
              <w:adjustRightInd w:val="0"/>
              <w:snapToGrid w:val="0"/>
              <w:spacing w:line="360" w:lineRule="auto"/>
              <w:jc w:val="left"/>
              <w:rPr>
                <w:rFonts w:hint="default" w:eastAsia="仿宋"/>
                <w:color w:val="000000"/>
                <w:sz w:val="24"/>
                <w:szCs w:val="24"/>
                <w:lang w:val="en-US" w:eastAsia="zh-CN"/>
              </w:rPr>
            </w:pPr>
          </w:p>
          <w:p w14:paraId="0A1D1E45">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5、何时撤销其他风险警示</w:t>
            </w:r>
          </w:p>
          <w:p w14:paraId="7270195F">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根据《上海证券交易所股票上市规则（2025年4月修订）》第9.8.8条“上市公司股票因第9.8.1条第一款第（七）项规定情形被实施其他风险警示后，同时符合下列条件的，可以向本所申请撤销对其股票实施的其他风险警示并披露：（一）中国证监会作出行政处罚决定书已满12个月；（二）公司已就行政处罚决定所涉事项对相应年度财务会计报告进行追溯重述。”等相关规定，公司将做好相关工作并在满足条件后争取申请撤销风险警示，具体进展请以公司正式公告为准。</w:t>
            </w:r>
          </w:p>
          <w:p w14:paraId="3EC454A2">
            <w:pPr>
              <w:adjustRightInd w:val="0"/>
              <w:snapToGrid w:val="0"/>
              <w:spacing w:line="360" w:lineRule="auto"/>
              <w:jc w:val="left"/>
              <w:rPr>
                <w:rFonts w:hint="default" w:eastAsia="仿宋"/>
                <w:color w:val="000000"/>
                <w:sz w:val="24"/>
                <w:szCs w:val="24"/>
                <w:lang w:val="en-US" w:eastAsia="zh-CN"/>
              </w:rPr>
            </w:pPr>
          </w:p>
        </w:tc>
      </w:tr>
    </w:tbl>
    <w:p w14:paraId="29E2D6B9">
      <w:pPr>
        <w:adjustRightInd w:val="0"/>
        <w:snapToGrid w:val="0"/>
        <w:spacing w:line="360" w:lineRule="auto"/>
        <w:ind w:firstLine="480" w:firstLineChars="200"/>
        <w:jc w:val="right"/>
        <w:rPr>
          <w:rFonts w:eastAsia="仿宋"/>
          <w:color w:val="000000"/>
          <w:sz w:val="24"/>
          <w:szCs w:val="24"/>
        </w:rPr>
      </w:pPr>
    </w:p>
    <w:p w14:paraId="6B25D794">
      <w:pPr>
        <w:adjustRightInd w:val="0"/>
        <w:snapToGrid w:val="0"/>
        <w:spacing w:line="360" w:lineRule="auto"/>
        <w:ind w:firstLine="480" w:firstLineChars="200"/>
        <w:jc w:val="right"/>
        <w:rPr>
          <w:rFonts w:eastAsia="仿宋"/>
          <w:color w:val="000000"/>
          <w:sz w:val="24"/>
          <w:szCs w:val="24"/>
        </w:rPr>
      </w:pPr>
    </w:p>
    <w:p w14:paraId="4FCCD5A2">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绝味食品股份有限公司</w:t>
      </w:r>
    </w:p>
    <w:p w14:paraId="01538FE3">
      <w:pPr>
        <w:wordWrap w:val="0"/>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董</w:t>
      </w:r>
      <w:r>
        <w:rPr>
          <w:rFonts w:hint="eastAsia" w:eastAsia="仿宋"/>
          <w:color w:val="000000"/>
          <w:sz w:val="24"/>
          <w:szCs w:val="24"/>
        </w:rPr>
        <w:t xml:space="preserve">   </w:t>
      </w:r>
      <w:r>
        <w:rPr>
          <w:rFonts w:eastAsia="仿宋"/>
          <w:color w:val="000000"/>
          <w:sz w:val="24"/>
          <w:szCs w:val="24"/>
        </w:rPr>
        <w:t>事</w:t>
      </w:r>
      <w:r>
        <w:rPr>
          <w:rFonts w:hint="eastAsia" w:eastAsia="仿宋"/>
          <w:color w:val="000000"/>
          <w:sz w:val="24"/>
          <w:szCs w:val="24"/>
        </w:rPr>
        <w:t xml:space="preserve">   </w:t>
      </w:r>
      <w:r>
        <w:rPr>
          <w:rFonts w:eastAsia="仿宋"/>
          <w:color w:val="000000"/>
          <w:sz w:val="24"/>
          <w:szCs w:val="24"/>
        </w:rPr>
        <w:t>会</w:t>
      </w:r>
      <w:r>
        <w:rPr>
          <w:rFonts w:hint="eastAsia" w:eastAsia="仿宋"/>
          <w:color w:val="000000"/>
          <w:sz w:val="24"/>
          <w:szCs w:val="24"/>
        </w:rPr>
        <w:t xml:space="preserve">  </w:t>
      </w:r>
    </w:p>
    <w:p w14:paraId="062F00C9">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202</w:t>
      </w:r>
      <w:r>
        <w:rPr>
          <w:rFonts w:hint="eastAsia" w:eastAsia="仿宋"/>
          <w:color w:val="000000"/>
          <w:sz w:val="24"/>
          <w:szCs w:val="24"/>
          <w:lang w:val="en-US" w:eastAsia="zh-CN"/>
        </w:rPr>
        <w:t>6</w:t>
      </w:r>
      <w:r>
        <w:rPr>
          <w:rFonts w:eastAsia="仿宋"/>
          <w:color w:val="000000"/>
          <w:sz w:val="24"/>
          <w:szCs w:val="24"/>
        </w:rPr>
        <w:t>年</w:t>
      </w:r>
      <w:r>
        <w:rPr>
          <w:rFonts w:hint="eastAsia" w:eastAsia="仿宋"/>
          <w:color w:val="000000"/>
          <w:sz w:val="24"/>
          <w:szCs w:val="24"/>
          <w:lang w:val="en-US" w:eastAsia="zh-CN"/>
        </w:rPr>
        <w:t>5</w:t>
      </w:r>
      <w:r>
        <w:rPr>
          <w:rFonts w:eastAsia="仿宋"/>
          <w:color w:val="000000"/>
          <w:sz w:val="24"/>
          <w:szCs w:val="24"/>
        </w:rPr>
        <w:t>月</w:t>
      </w:r>
      <w:r>
        <w:rPr>
          <w:rFonts w:hint="eastAsia" w:eastAsia="仿宋"/>
          <w:color w:val="000000"/>
          <w:sz w:val="24"/>
          <w:szCs w:val="24"/>
          <w:lang w:val="en-US" w:eastAsia="zh-CN"/>
        </w:rPr>
        <w:t>22</w:t>
      </w:r>
      <w:r>
        <w:rPr>
          <w:rFonts w:eastAsia="仿宋"/>
          <w:color w:val="000000"/>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1E3F"/>
    <w:rsid w:val="008F72BD"/>
    <w:rsid w:val="008F7968"/>
    <w:rsid w:val="00903413"/>
    <w:rsid w:val="0090368C"/>
    <w:rsid w:val="0090634C"/>
    <w:rsid w:val="00920BC2"/>
    <w:rsid w:val="00922B5B"/>
    <w:rsid w:val="00942C98"/>
    <w:rsid w:val="009451F1"/>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3A27796"/>
    <w:rsid w:val="04243DB5"/>
    <w:rsid w:val="05DE22D8"/>
    <w:rsid w:val="09DC1C94"/>
    <w:rsid w:val="0BB27EF8"/>
    <w:rsid w:val="0CCC57C0"/>
    <w:rsid w:val="0CF44B74"/>
    <w:rsid w:val="0EA0672E"/>
    <w:rsid w:val="10D4309D"/>
    <w:rsid w:val="11BD1D7A"/>
    <w:rsid w:val="18245ECC"/>
    <w:rsid w:val="1BE83F52"/>
    <w:rsid w:val="1EE0427F"/>
    <w:rsid w:val="1FF84BB0"/>
    <w:rsid w:val="23DA5DE6"/>
    <w:rsid w:val="26FC7E22"/>
    <w:rsid w:val="285C4C72"/>
    <w:rsid w:val="29CE5BDB"/>
    <w:rsid w:val="2BFC093E"/>
    <w:rsid w:val="2CDA6E57"/>
    <w:rsid w:val="32F13711"/>
    <w:rsid w:val="33D02700"/>
    <w:rsid w:val="381C7B6A"/>
    <w:rsid w:val="3C1E0D2E"/>
    <w:rsid w:val="3CB5031C"/>
    <w:rsid w:val="3D122D92"/>
    <w:rsid w:val="3DAE0540"/>
    <w:rsid w:val="3EF8725E"/>
    <w:rsid w:val="4005231E"/>
    <w:rsid w:val="442205D2"/>
    <w:rsid w:val="46D87B0C"/>
    <w:rsid w:val="47811BE1"/>
    <w:rsid w:val="48974F56"/>
    <w:rsid w:val="49267254"/>
    <w:rsid w:val="4A1C41B3"/>
    <w:rsid w:val="4FE8475A"/>
    <w:rsid w:val="537961D3"/>
    <w:rsid w:val="546B520C"/>
    <w:rsid w:val="573568B4"/>
    <w:rsid w:val="589B7551"/>
    <w:rsid w:val="59365616"/>
    <w:rsid w:val="5945561B"/>
    <w:rsid w:val="599B33CD"/>
    <w:rsid w:val="5A35600C"/>
    <w:rsid w:val="5BF6686F"/>
    <w:rsid w:val="5C5B1BCF"/>
    <w:rsid w:val="5DF272AD"/>
    <w:rsid w:val="5EC65C74"/>
    <w:rsid w:val="5F766ABE"/>
    <w:rsid w:val="6535142B"/>
    <w:rsid w:val="683D7C14"/>
    <w:rsid w:val="69797EDA"/>
    <w:rsid w:val="69F64013"/>
    <w:rsid w:val="6A2F68C0"/>
    <w:rsid w:val="718225C7"/>
    <w:rsid w:val="75446735"/>
    <w:rsid w:val="76F61A9D"/>
    <w:rsid w:val="79766667"/>
    <w:rsid w:val="7BFE5D9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标题 字符"/>
    <w:link w:val="6"/>
    <w:qFormat/>
    <w:locked/>
    <w:uiPriority w:val="0"/>
    <w:rPr>
      <w:rFonts w:ascii="Cambria" w:hAnsi="Cambria" w:eastAsia="宋体"/>
      <w:b/>
      <w:bCs/>
      <w:kern w:val="2"/>
      <w:sz w:val="32"/>
      <w:szCs w:val="32"/>
      <w:lang w:val="en-US" w:eastAsia="zh-CN" w:bidi="ar-SA"/>
    </w:rPr>
  </w:style>
  <w:style w:type="character" w:customStyle="1" w:styleId="16">
    <w:name w:val="批注主题 字符"/>
    <w:link w:val="7"/>
    <w:qFormat/>
    <w:uiPriority w:val="0"/>
    <w:rPr>
      <w:b/>
      <w:bCs/>
      <w:kern w:val="2"/>
      <w:sz w:val="21"/>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999</Words>
  <Characters>1025</Characters>
  <Lines>13</Lines>
  <Paragraphs>3</Paragraphs>
  <TotalTime>15</TotalTime>
  <ScaleCrop>false</ScaleCrop>
  <LinksUpToDate>false</LinksUpToDate>
  <CharactersWithSpaces>1097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Tian</dc:creator>
  <cp:lastModifiedBy>龙芳</cp:lastModifiedBy>
  <cp:lastPrinted>2025-06-26T01:32:00Z</cp:lastPrinted>
  <dcterms:modified xsi:type="dcterms:W3CDTF">2026-05-21T08:10:14Z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9ABA1DFFE1794401864CF6D1B4BCBE7B_13</vt:lpwstr>
  </property>
  <property fmtid="{D5CDD505-2E9C-101B-9397-08002B2CF9AE}" pid="4" name="KSOTemplateDocerSaveRecord">
    <vt:lpwstr>eyJoZGlkIjoiOGFkMzBlOTE5N2QxMTUxYjBjYzUxMmU0ZjU0ZGIyYWMiLCJ1c2VySWQiOiIxNjU3NjM0ODk2In0=</vt:lpwstr>
  </property>
</Properties>
</file>