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FAEFE2">
      <w:pPr>
        <w:pStyle w:val="2"/>
        <w:ind w:right="824"/>
        <w:jc w:val="center"/>
      </w:pPr>
      <w:r>
        <w:rPr>
          <w:rFonts w:hint="eastAsia"/>
          <w:lang w:val="en-US"/>
        </w:rPr>
        <w:t xml:space="preserve">      杭州格林达电子材料</w:t>
      </w:r>
      <w:r>
        <w:t>股份有限公司</w:t>
      </w:r>
    </w:p>
    <w:p w14:paraId="2CD1AB76">
      <w:pPr>
        <w:pStyle w:val="2"/>
        <w:ind w:right="824"/>
        <w:jc w:val="center"/>
      </w:pPr>
      <w:r>
        <w:rPr>
          <w:rFonts w:hint="eastAsia"/>
          <w:lang w:val="en-US"/>
        </w:rPr>
        <w:t xml:space="preserve">       </w:t>
      </w:r>
      <w:r>
        <w:t>投资者关系活动记录表</w:t>
      </w:r>
    </w:p>
    <w:p w14:paraId="02AB9919">
      <w:pPr>
        <w:spacing w:before="154" w:after="32"/>
        <w:ind w:right="679"/>
        <w:jc w:val="right"/>
        <w:rPr>
          <w:rFonts w:hint="eastAsia" w:eastAsia="仿宋"/>
          <w:sz w:val="28"/>
          <w:lang w:val="en-US" w:eastAsia="zh-CN"/>
        </w:rPr>
      </w:pPr>
      <w:r>
        <w:rPr>
          <w:sz w:val="28"/>
        </w:rPr>
        <w:t>编号：</w:t>
      </w:r>
      <w:r>
        <w:rPr>
          <w:rFonts w:hint="eastAsia"/>
          <w:sz w:val="28"/>
        </w:rPr>
        <w:t>2026-00</w:t>
      </w:r>
      <w:r>
        <w:rPr>
          <w:rFonts w:hint="eastAsia"/>
          <w:sz w:val="28"/>
          <w:lang w:val="en-US" w:eastAsia="zh-CN"/>
        </w:rPr>
        <w:t>4</w:t>
      </w:r>
    </w:p>
    <w:tbl>
      <w:tblPr>
        <w:tblStyle w:val="5"/>
        <w:tblW w:w="8525" w:type="dxa"/>
        <w:tblInd w:w="7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77"/>
        <w:gridCol w:w="6148"/>
      </w:tblGrid>
      <w:tr w14:paraId="2FF66D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7" w:hRule="atLeast"/>
        </w:trPr>
        <w:tc>
          <w:tcPr>
            <w:tcW w:w="2377" w:type="dxa"/>
          </w:tcPr>
          <w:p w14:paraId="0C1D15A6">
            <w:pPr>
              <w:pStyle w:val="9"/>
              <w:ind w:left="0"/>
              <w:rPr>
                <w:sz w:val="24"/>
              </w:rPr>
            </w:pPr>
          </w:p>
          <w:p w14:paraId="52D4324F">
            <w:pPr>
              <w:pStyle w:val="9"/>
              <w:spacing w:before="12"/>
              <w:ind w:left="0"/>
              <w:rPr>
                <w:sz w:val="31"/>
              </w:rPr>
            </w:pPr>
          </w:p>
          <w:p w14:paraId="319AE997">
            <w:pPr>
              <w:pStyle w:val="9"/>
              <w:rPr>
                <w:sz w:val="24"/>
              </w:rPr>
            </w:pPr>
            <w:r>
              <w:rPr>
                <w:sz w:val="24"/>
              </w:rPr>
              <w:t>投资者关系活动类别</w:t>
            </w:r>
          </w:p>
        </w:tc>
        <w:tc>
          <w:tcPr>
            <w:tcW w:w="6148" w:type="dxa"/>
          </w:tcPr>
          <w:p w14:paraId="1F001BCD">
            <w:pPr>
              <w:pStyle w:val="9"/>
              <w:tabs>
                <w:tab w:val="left" w:pos="2747"/>
              </w:tabs>
              <w:spacing w:before="64"/>
              <w:rPr>
                <w:sz w:val="24"/>
              </w:rPr>
            </w:pPr>
            <w:r>
              <w:rPr>
                <w:rFonts w:hint="eastAsia"/>
                <w:sz w:val="24"/>
                <w:lang w:eastAsia="zh-CN"/>
              </w:rPr>
              <w:t>☑</w:t>
            </w:r>
            <w:r>
              <w:rPr>
                <w:sz w:val="24"/>
              </w:rPr>
              <w:t>特定对象调研</w:t>
            </w:r>
            <w:r>
              <w:rPr>
                <w:sz w:val="24"/>
              </w:rPr>
              <w:tab/>
            </w:r>
            <w:r>
              <w:rPr>
                <w:sz w:val="24"/>
              </w:rPr>
              <w:t>□分析师会议</w:t>
            </w:r>
          </w:p>
          <w:p w14:paraId="6237480F">
            <w:pPr>
              <w:pStyle w:val="9"/>
              <w:tabs>
                <w:tab w:val="left" w:pos="2747"/>
              </w:tabs>
              <w:spacing w:before="130"/>
              <w:rPr>
                <w:sz w:val="24"/>
              </w:rPr>
            </w:pPr>
            <w:r>
              <w:rPr>
                <w:sz w:val="24"/>
              </w:rPr>
              <w:t>□媒体采访</w:t>
            </w:r>
            <w:r>
              <w:rPr>
                <w:sz w:val="24"/>
              </w:rPr>
              <w:tab/>
            </w:r>
            <w:r>
              <w:rPr>
                <w:sz w:val="24"/>
              </w:rPr>
              <w:t>□业绩说明会</w:t>
            </w:r>
          </w:p>
          <w:p w14:paraId="7DD45750">
            <w:pPr>
              <w:pStyle w:val="9"/>
              <w:tabs>
                <w:tab w:val="left" w:pos="2747"/>
              </w:tabs>
              <w:spacing w:before="126"/>
              <w:rPr>
                <w:sz w:val="24"/>
              </w:rPr>
            </w:pPr>
            <w:r>
              <w:rPr>
                <w:sz w:val="24"/>
              </w:rPr>
              <w:t>□新闻发布会</w:t>
            </w:r>
            <w:r>
              <w:rPr>
                <w:sz w:val="24"/>
              </w:rPr>
              <w:tab/>
            </w:r>
            <w:r>
              <w:rPr>
                <w:sz w:val="24"/>
              </w:rPr>
              <w:t>□路演活动</w:t>
            </w:r>
          </w:p>
          <w:p w14:paraId="56269F88">
            <w:pPr>
              <w:pStyle w:val="9"/>
              <w:spacing w:before="128"/>
              <w:rPr>
                <w:sz w:val="24"/>
              </w:rPr>
            </w:pPr>
            <w:r>
              <w:rPr>
                <w:sz w:val="24"/>
              </w:rPr>
              <w:t>□现场参观</w:t>
            </w:r>
          </w:p>
          <w:p w14:paraId="22C30DD5">
            <w:pPr>
              <w:pStyle w:val="9"/>
              <w:spacing w:before="127"/>
              <w:rPr>
                <w:sz w:val="24"/>
              </w:rPr>
            </w:pPr>
            <w:r>
              <w:rPr>
                <w:sz w:val="24"/>
              </w:rPr>
              <w:t>□其他（请文字说明其他活动内容）</w:t>
            </w:r>
          </w:p>
        </w:tc>
      </w:tr>
      <w:tr w14:paraId="27E035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2377" w:type="dxa"/>
          </w:tcPr>
          <w:p w14:paraId="1BD9B899">
            <w:pPr>
              <w:pStyle w:val="9"/>
              <w:spacing w:before="64"/>
              <w:rPr>
                <w:sz w:val="24"/>
              </w:rPr>
            </w:pPr>
            <w:r>
              <w:rPr>
                <w:sz w:val="24"/>
              </w:rPr>
              <w:t>活动参与人员</w:t>
            </w:r>
          </w:p>
        </w:tc>
        <w:tc>
          <w:tcPr>
            <w:tcW w:w="6148" w:type="dxa"/>
          </w:tcPr>
          <w:p w14:paraId="0A8B9502">
            <w:pPr>
              <w:pStyle w:val="9"/>
              <w:rPr>
                <w:rFonts w:hint="default" w:eastAsia="仿宋"/>
                <w:lang w:val="en-US" w:eastAsia="zh-CN"/>
              </w:rPr>
            </w:pPr>
            <w:r>
              <w:rPr>
                <w:rFonts w:hint="eastAsia"/>
                <w:lang w:val="en-US" w:eastAsia="zh-CN"/>
              </w:rPr>
              <w:t>兴业证券、菁菁投资、招商基金、君成投资</w:t>
            </w:r>
          </w:p>
        </w:tc>
      </w:tr>
      <w:tr w14:paraId="13A0F9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2377" w:type="dxa"/>
          </w:tcPr>
          <w:p w14:paraId="5F7FF5DE">
            <w:pPr>
              <w:pStyle w:val="9"/>
              <w:spacing w:before="64"/>
              <w:rPr>
                <w:sz w:val="24"/>
              </w:rPr>
            </w:pPr>
            <w:r>
              <w:rPr>
                <w:sz w:val="24"/>
              </w:rPr>
              <w:t>时间</w:t>
            </w:r>
          </w:p>
        </w:tc>
        <w:tc>
          <w:tcPr>
            <w:tcW w:w="6148" w:type="dxa"/>
          </w:tcPr>
          <w:p w14:paraId="4B082C86">
            <w:pPr>
              <w:pStyle w:val="9"/>
              <w:ind w:left="0"/>
              <w:rPr>
                <w:rFonts w:hint="default" w:ascii="Times New Roman" w:eastAsia="仿宋"/>
                <w:sz w:val="26"/>
                <w:lang w:val="en-US" w:eastAsia="zh-CN"/>
              </w:rPr>
            </w:pPr>
            <w:r>
              <w:rPr>
                <w:rFonts w:hint="eastAsia" w:ascii="Times New Roman"/>
                <w:sz w:val="26"/>
              </w:rPr>
              <w:t>2026</w:t>
            </w:r>
            <w:r>
              <w:rPr>
                <w:rFonts w:ascii="Times New Roman"/>
                <w:sz w:val="26"/>
              </w:rPr>
              <w:t>.</w:t>
            </w:r>
            <w:r>
              <w:rPr>
                <w:rFonts w:hint="eastAsia" w:ascii="Times New Roman"/>
                <w:sz w:val="26"/>
              </w:rPr>
              <w:t>5</w:t>
            </w:r>
            <w:r>
              <w:rPr>
                <w:rFonts w:ascii="Times New Roman"/>
                <w:sz w:val="26"/>
              </w:rPr>
              <w:t>.</w:t>
            </w:r>
            <w:r>
              <w:rPr>
                <w:rFonts w:hint="eastAsia" w:ascii="Times New Roman"/>
                <w:sz w:val="26"/>
                <w:lang w:val="en-US" w:eastAsia="zh-CN"/>
              </w:rPr>
              <w:t>21</w:t>
            </w:r>
            <w:r>
              <w:rPr>
                <w:rFonts w:hint="eastAsia" w:ascii="Times New Roman"/>
                <w:sz w:val="26"/>
              </w:rPr>
              <w:t>上午</w:t>
            </w:r>
            <w:r>
              <w:rPr>
                <w:rFonts w:ascii="Times New Roman"/>
                <w:sz w:val="26"/>
              </w:rPr>
              <w:t xml:space="preserve"> </w:t>
            </w:r>
            <w:r>
              <w:rPr>
                <w:rFonts w:hint="eastAsia" w:ascii="Times New Roman"/>
                <w:sz w:val="26"/>
                <w:lang w:val="en-US" w:eastAsia="zh-CN"/>
              </w:rPr>
              <w:t>10:30-11:30</w:t>
            </w:r>
          </w:p>
        </w:tc>
      </w:tr>
      <w:tr w14:paraId="0E13B0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2377" w:type="dxa"/>
          </w:tcPr>
          <w:p w14:paraId="219387FF">
            <w:pPr>
              <w:pStyle w:val="9"/>
              <w:spacing w:before="64"/>
              <w:rPr>
                <w:sz w:val="24"/>
              </w:rPr>
            </w:pPr>
            <w:r>
              <w:rPr>
                <w:sz w:val="24"/>
              </w:rPr>
              <w:t>地点</w:t>
            </w:r>
          </w:p>
        </w:tc>
        <w:tc>
          <w:tcPr>
            <w:tcW w:w="6148" w:type="dxa"/>
          </w:tcPr>
          <w:p w14:paraId="33D50453">
            <w:pPr>
              <w:pStyle w:val="9"/>
              <w:ind w:left="0"/>
              <w:rPr>
                <w:rFonts w:ascii="Times New Roman"/>
                <w:sz w:val="26"/>
              </w:rPr>
            </w:pPr>
            <w:r>
              <w:rPr>
                <w:rFonts w:hint="eastAsia"/>
              </w:rPr>
              <w:t>格林达会议室</w:t>
            </w:r>
          </w:p>
        </w:tc>
      </w:tr>
      <w:tr w14:paraId="52BBB1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2377" w:type="dxa"/>
          </w:tcPr>
          <w:p w14:paraId="149B793D">
            <w:pPr>
              <w:pStyle w:val="9"/>
              <w:spacing w:before="64"/>
              <w:rPr>
                <w:sz w:val="24"/>
              </w:rPr>
            </w:pPr>
            <w:r>
              <w:rPr>
                <w:rFonts w:hint="eastAsia"/>
                <w:sz w:val="24"/>
              </w:rPr>
              <w:t>上市公司接待人员</w:t>
            </w:r>
          </w:p>
        </w:tc>
        <w:tc>
          <w:tcPr>
            <w:tcW w:w="6148" w:type="dxa"/>
          </w:tcPr>
          <w:p w14:paraId="07BD6B50">
            <w:pPr>
              <w:pStyle w:val="9"/>
              <w:ind w:left="0" w:leftChars="0" w:firstLine="0" w:firstLineChars="0"/>
            </w:pPr>
            <w:r>
              <w:rPr>
                <w:rFonts w:hint="eastAsia"/>
              </w:rPr>
              <w:t>总经理：方伟华</w:t>
            </w:r>
          </w:p>
          <w:p w14:paraId="75443783">
            <w:pPr>
              <w:pStyle w:val="9"/>
              <w:ind w:left="0"/>
              <w:rPr>
                <w:rFonts w:hint="eastAsia"/>
              </w:rPr>
            </w:pPr>
            <w:r>
              <w:rPr>
                <w:rFonts w:hint="eastAsia"/>
              </w:rPr>
              <w:t>董事会秘书：章琪</w:t>
            </w:r>
          </w:p>
        </w:tc>
      </w:tr>
      <w:tr w14:paraId="41889C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37" w:hRule="atLeast"/>
        </w:trPr>
        <w:tc>
          <w:tcPr>
            <w:tcW w:w="2377" w:type="dxa"/>
          </w:tcPr>
          <w:p w14:paraId="1D513ADD">
            <w:pPr>
              <w:pStyle w:val="9"/>
              <w:spacing w:before="67"/>
              <w:rPr>
                <w:sz w:val="24"/>
              </w:rPr>
            </w:pPr>
            <w:r>
              <w:rPr>
                <w:sz w:val="24"/>
              </w:rPr>
              <w:t>交流内容及具体问答</w:t>
            </w:r>
          </w:p>
          <w:p w14:paraId="504BE76F">
            <w:pPr>
              <w:pStyle w:val="9"/>
              <w:spacing w:before="127"/>
              <w:rPr>
                <w:sz w:val="24"/>
              </w:rPr>
            </w:pPr>
            <w:r>
              <w:rPr>
                <w:sz w:val="24"/>
              </w:rPr>
              <w:t>记录</w:t>
            </w:r>
          </w:p>
        </w:tc>
        <w:tc>
          <w:tcPr>
            <w:tcW w:w="6148" w:type="dxa"/>
          </w:tcPr>
          <w:p w14:paraId="7A2A13DC">
            <w:pPr>
              <w:spacing w:line="360" w:lineRule="auto"/>
              <w:rPr>
                <w:rFonts w:hint="eastAsia" w:eastAsia="仿宋"/>
                <w:lang w:val="en-US" w:eastAsia="zh-CN"/>
              </w:rPr>
            </w:pPr>
            <w:r>
              <w:rPr>
                <w:rFonts w:hint="eastAsia"/>
              </w:rPr>
              <w:t>1、公司产品的</w:t>
            </w:r>
            <w:r>
              <w:rPr>
                <w:rFonts w:hint="eastAsia"/>
                <w:lang w:val="en-US"/>
              </w:rPr>
              <w:t>业务进展情况</w:t>
            </w:r>
            <w:r>
              <w:rPr>
                <w:rFonts w:hint="eastAsia"/>
                <w:lang w:val="en-US" w:eastAsia="zh-CN"/>
              </w:rPr>
              <w:t>如何？</w:t>
            </w:r>
          </w:p>
          <w:p w14:paraId="2EF4860C">
            <w:pPr>
              <w:spacing w:line="360" w:lineRule="auto"/>
              <w:rPr>
                <w:rFonts w:hint="eastAsia"/>
              </w:rPr>
            </w:pPr>
            <w:r>
              <w:rPr>
                <w:rFonts w:hint="eastAsia"/>
                <w:lang w:val="en-US" w:eastAsia="zh-CN"/>
              </w:rPr>
              <w:t>A：1、格林达自2001年成立以来，二十余年如一日深耕超净高纯湿电子化学品领域，我们始终聚焦于显影液、蚀刻液、稀释液、清洗液等核心产品的研发、生产和销售。公司自主研发的核心产品TMAH显影液，相关技术指标已经达到了SEMI G5标准要求。下游主要客户涵盖京东方集团、韩国LG集团、华星光电、天马微电子、维信诺等国内外知名企业，公司也凭此获得了国家级制造业单项冠军示范企业的殊荣。2、</w:t>
            </w:r>
            <w:r>
              <w:rPr>
                <w:rFonts w:hint="eastAsia"/>
              </w:rPr>
              <w:t>公司在稳固TMAH显影液市场领先地位的同时，根据下游客户需求和市场发展变化，加速推进新产品市场拓展，着力构建多元产品矩阵：剥离液产品继成功导入维信诺集团云谷(固安)科技有限公司后，已经完成涉及剥离液回收液的全部测试，形成全厂规模量供，达到剥离液生产和回收循环利用的全链条闭环，实现了有效降本和循环使用模式的建立；在成功稳定量供的基础上，公司已顺利启动并完成维信诺集团合肥国显科技有限公司高世代OLED新工厂剥离液产品的导入；剥离液产品也在龙头企业惠科集团惠科股份有限公司创新半导体显示分公司完成全部测试和导入，形成全厂量供。</w:t>
            </w:r>
            <w:r>
              <w:rPr>
                <w:rFonts w:hint="eastAsia"/>
                <w:lang w:val="en-US" w:eastAsia="zh-CN"/>
              </w:rPr>
              <w:t>3、</w:t>
            </w:r>
            <w:r>
              <w:rPr>
                <w:rFonts w:hint="eastAsia"/>
                <w:lang w:val="en-US"/>
              </w:rPr>
              <w:t>同时，</w:t>
            </w:r>
            <w:r>
              <w:rPr>
                <w:rFonts w:hint="eastAsia"/>
              </w:rPr>
              <w:t>公司充分利用现有市场地位、技术优势和产业经验，不断深化泛半导体市场布局与拓展: 公司在半导体大硅片及功率器件行业方面，目前已完成立昂微集团海宁新工厂、芜湖长信等国内泛半导体龙头企业的量供导入，同时对台湾地区的泛半导体客户形成稳定量供，半导体用显影液和稀释液已在半导体功率器件企业形成稳定量供，并持续开拓国内外下游泛半导体客户市场。</w:t>
            </w:r>
          </w:p>
          <w:p w14:paraId="1B27C515">
            <w:pPr>
              <w:spacing w:line="360" w:lineRule="auto"/>
              <w:rPr>
                <w:rFonts w:hint="eastAsia"/>
              </w:rPr>
            </w:pPr>
          </w:p>
          <w:p w14:paraId="0E4FDB61">
            <w:pPr>
              <w:spacing w:line="360" w:lineRule="auto"/>
              <w:rPr>
                <w:rFonts w:hint="default"/>
                <w:lang w:val="en-US" w:eastAsia="zh-CN"/>
              </w:rPr>
            </w:pPr>
            <w:r>
              <w:rPr>
                <w:rFonts w:hint="eastAsia"/>
                <w:lang w:val="en-US" w:eastAsia="zh-CN"/>
              </w:rPr>
              <w:t>2、下游行业发展趋势和公司在湿电子化学品领域的优势如何</w:t>
            </w:r>
          </w:p>
          <w:p w14:paraId="3CBDC5B5">
            <w:pPr>
              <w:spacing w:line="360" w:lineRule="auto"/>
              <w:rPr>
                <w:rFonts w:hint="eastAsia"/>
                <w:lang w:val="en-US" w:eastAsia="zh-CN"/>
              </w:rPr>
            </w:pPr>
            <w:r>
              <w:rPr>
                <w:rFonts w:hint="eastAsia"/>
                <w:lang w:val="en-US" w:eastAsia="zh-CN"/>
              </w:rPr>
              <w:t>A：中国数字经济的发展引领新型显示产业和集成电路产业规模持续扩大，并呈现高质量发展的态势，对相关产业链的专用材料和设备企业而言将是巨大的市场机遇。在下游市场的带动下，公司所处的电子材料领域呈现较好的发展前景，以湿电子化学品为核心的系列产品也将迎来进一步市场机遇。公司作为国内湿电子化学品主要生产厂商之一，凭借先发优势，积累了非常丰富的行业经验，具备从原料提纯、杂质控制、工艺优化到包装运输的技术优势和产业经验。</w:t>
            </w:r>
            <w:bookmarkStart w:id="0" w:name="_GoBack"/>
            <w:bookmarkEnd w:id="0"/>
            <w:r>
              <w:rPr>
                <w:rFonts w:hint="eastAsia"/>
                <w:lang w:val="en-US" w:eastAsia="zh-CN"/>
              </w:rPr>
              <w:t>此外，随着集成电路制造工艺变得越来越复杂，对湿法工艺的技术要求不断提高，新结构、新器件和新材料的不断引入，主流芯片制造企业间的差异性也越来越大，对于功能性化学品来说，满足客户的定制化需求是未来发展的重要趋势。公司始终紧跟行业发展，不断提升、改进生产工艺，优秀可靠的技术团队具备领先的产品设计开发能力，能够根据客户的工艺需求，开展针对性产品开发与优化，以适配不同客户的产线要求，提供定制化解决方案。</w:t>
            </w:r>
          </w:p>
          <w:p w14:paraId="38B81EBC">
            <w:pPr>
              <w:spacing w:line="360" w:lineRule="auto"/>
              <w:rPr>
                <w:rFonts w:hint="default"/>
                <w:lang w:val="en-US" w:eastAsia="zh-CN"/>
              </w:rPr>
            </w:pPr>
          </w:p>
          <w:p w14:paraId="4B4D4309">
            <w:pPr>
              <w:spacing w:line="360" w:lineRule="auto"/>
              <w:rPr>
                <w:rFonts w:hint="default"/>
                <w:lang w:val="en-US" w:eastAsia="zh-CN"/>
              </w:rPr>
            </w:pPr>
            <w:r>
              <w:rPr>
                <w:rFonts w:hint="eastAsia"/>
                <w:lang w:val="en-US" w:eastAsia="zh-CN"/>
              </w:rPr>
              <w:t>3、行业发展对公司未来的规划和发展趋势的影响如何</w:t>
            </w:r>
          </w:p>
          <w:p w14:paraId="6752C056">
            <w:pPr>
              <w:spacing w:line="360" w:lineRule="auto"/>
              <w:rPr>
                <w:rFonts w:hint="eastAsia"/>
                <w:lang w:val="en-US" w:eastAsia="zh-CN"/>
              </w:rPr>
            </w:pPr>
            <w:r>
              <w:rPr>
                <w:rFonts w:hint="eastAsia"/>
                <w:lang w:val="en-US" w:eastAsia="zh-CN"/>
              </w:rPr>
              <w:t>A：自2009年公司显影液项目被国家发改委列入“国家彩电产业战略转型产业化专项”以来，我们始终与国家显示面板产业同频共振，见证了并深度参与国内面板企业的成长壮大。近年来，公司又先后承接国家科技部、工信部多项重点研发任务，聚焦集成电路用关键材料的研发与验证，持续核心技术攻关。一路走来，公司始终紧跟国家战略方向，将自身发展融入国家产业规划蓝图。面向未来，公司将坚定依托持续的研发创新和前瞻性的产能布局，巩固并扩大在细分领域的领先优势，为提升产业链的自主可控能力、培育和发展新质生产力，持续贡献格林达的专业力量。</w:t>
            </w:r>
          </w:p>
          <w:p w14:paraId="18A5909F">
            <w:pPr>
              <w:spacing w:line="360" w:lineRule="auto"/>
              <w:rPr>
                <w:rFonts w:hint="eastAsia"/>
                <w:lang w:val="en-US" w:eastAsia="zh-CN"/>
              </w:rPr>
            </w:pPr>
          </w:p>
          <w:p w14:paraId="28CA2528">
            <w:pPr>
              <w:spacing w:line="360" w:lineRule="auto"/>
              <w:rPr>
                <w:rFonts w:hint="eastAsia"/>
                <w:lang w:val="en-US" w:eastAsia="zh-CN"/>
              </w:rPr>
            </w:pPr>
            <w:r>
              <w:rPr>
                <w:rFonts w:hint="eastAsia"/>
                <w:lang w:val="en-US" w:eastAsia="zh-CN"/>
              </w:rPr>
              <w:t>4、公司是否有融资需求？</w:t>
            </w:r>
          </w:p>
          <w:p w14:paraId="07826C1C">
            <w:pPr>
              <w:spacing w:line="360" w:lineRule="auto"/>
            </w:pPr>
            <w:r>
              <w:rPr>
                <w:rFonts w:hint="eastAsia"/>
                <w:lang w:val="en-US" w:eastAsia="zh-CN"/>
              </w:rPr>
              <w:t>A：公司管理层积极关注产业链的发展趋势及潜在机会，将根据公司战略发展的需要，通过投资并购等多种资本运作方式选择优质标的,丰富产品结构以及下游应用领域，进一步增强技术储备和创新能力。未来若有相关计划，公司将严格按照监管要求，及时履行信息披露义务。</w:t>
            </w:r>
          </w:p>
          <w:p w14:paraId="5BED1E4A">
            <w:pPr>
              <w:spacing w:line="360" w:lineRule="auto"/>
              <w:rPr>
                <w:rFonts w:hint="default"/>
                <w:lang w:val="en-US" w:eastAsia="zh-CN"/>
              </w:rPr>
            </w:pPr>
          </w:p>
          <w:p w14:paraId="0AFA5B2E">
            <w:pPr>
              <w:spacing w:line="360" w:lineRule="auto"/>
            </w:pPr>
          </w:p>
        </w:tc>
      </w:tr>
      <w:tr w14:paraId="64D842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39" w:hRule="atLeast"/>
        </w:trPr>
        <w:tc>
          <w:tcPr>
            <w:tcW w:w="2377" w:type="dxa"/>
          </w:tcPr>
          <w:p w14:paraId="55F322A2">
            <w:pPr>
              <w:pStyle w:val="9"/>
              <w:spacing w:before="64" w:line="340" w:lineRule="auto"/>
              <w:ind w:right="97"/>
              <w:jc w:val="both"/>
              <w:rPr>
                <w:sz w:val="24"/>
              </w:rPr>
            </w:pPr>
            <w:r>
              <w:rPr>
                <w:sz w:val="24"/>
              </w:rPr>
              <w:t>活动过程中所使用的演示文稿、提供的文档等附件（如有，可</w:t>
            </w:r>
          </w:p>
          <w:p w14:paraId="6B84863A">
            <w:pPr>
              <w:pStyle w:val="9"/>
              <w:spacing w:line="303" w:lineRule="exact"/>
              <w:rPr>
                <w:sz w:val="24"/>
              </w:rPr>
            </w:pPr>
            <w:r>
              <w:rPr>
                <w:sz w:val="24"/>
              </w:rPr>
              <w:t>作为附件）</w:t>
            </w:r>
          </w:p>
        </w:tc>
        <w:tc>
          <w:tcPr>
            <w:tcW w:w="6148" w:type="dxa"/>
          </w:tcPr>
          <w:p w14:paraId="561E560E">
            <w:pPr>
              <w:pStyle w:val="9"/>
              <w:ind w:left="0"/>
              <w:rPr>
                <w:rFonts w:ascii="Times New Roman"/>
                <w:sz w:val="26"/>
              </w:rPr>
            </w:pPr>
            <w:r>
              <w:rPr>
                <w:rFonts w:hint="eastAsia" w:ascii="Times New Roman"/>
                <w:sz w:val="26"/>
              </w:rPr>
              <w:t>无</w:t>
            </w:r>
          </w:p>
        </w:tc>
      </w:tr>
    </w:tbl>
    <w:p w14:paraId="436C18F1">
      <w:pPr>
        <w:rPr>
          <w:rFonts w:ascii="宋体" w:hAnsi="宋体"/>
          <w:sz w:val="28"/>
        </w:rPr>
      </w:pPr>
    </w:p>
    <w:sectPr>
      <w:type w:val="continuous"/>
      <w:pgSz w:w="11910" w:h="16840"/>
      <w:pgMar w:top="1520" w:right="1580" w:bottom="280" w:left="9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E0B"/>
    <w:rsid w:val="000032E7"/>
    <w:rsid w:val="00016E03"/>
    <w:rsid w:val="00067221"/>
    <w:rsid w:val="000D24F6"/>
    <w:rsid w:val="00103076"/>
    <w:rsid w:val="001305E4"/>
    <w:rsid w:val="00232B20"/>
    <w:rsid w:val="002529FD"/>
    <w:rsid w:val="002F58B8"/>
    <w:rsid w:val="003F556E"/>
    <w:rsid w:val="00462D43"/>
    <w:rsid w:val="005156BA"/>
    <w:rsid w:val="00552E3E"/>
    <w:rsid w:val="005A2059"/>
    <w:rsid w:val="005C2C6D"/>
    <w:rsid w:val="00622D7E"/>
    <w:rsid w:val="00623297"/>
    <w:rsid w:val="006522D3"/>
    <w:rsid w:val="00686109"/>
    <w:rsid w:val="00772877"/>
    <w:rsid w:val="007E3B0D"/>
    <w:rsid w:val="00916165"/>
    <w:rsid w:val="00946532"/>
    <w:rsid w:val="009A5806"/>
    <w:rsid w:val="009F75B4"/>
    <w:rsid w:val="00A828CE"/>
    <w:rsid w:val="00A83E0B"/>
    <w:rsid w:val="00A8456E"/>
    <w:rsid w:val="00B803AF"/>
    <w:rsid w:val="00BA688B"/>
    <w:rsid w:val="00C5219B"/>
    <w:rsid w:val="00C826FC"/>
    <w:rsid w:val="00D42126"/>
    <w:rsid w:val="00D91025"/>
    <w:rsid w:val="00E46F19"/>
    <w:rsid w:val="00F56B76"/>
    <w:rsid w:val="00F943F4"/>
    <w:rsid w:val="1ED23A13"/>
    <w:rsid w:val="50245DA3"/>
    <w:rsid w:val="6AF33958"/>
    <w:rsid w:val="789855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44"/>
      <w:szCs w:val="44"/>
    </w:rPr>
  </w:style>
  <w:style w:type="paragraph" w:styleId="3">
    <w:name w:val="footer"/>
    <w:basedOn w:val="1"/>
    <w:link w:val="11"/>
    <w:uiPriority w:val="0"/>
    <w:pPr>
      <w:tabs>
        <w:tab w:val="center" w:pos="4153"/>
        <w:tab w:val="right" w:pos="8306"/>
      </w:tabs>
      <w:snapToGrid w:val="0"/>
    </w:pPr>
    <w:rPr>
      <w:sz w:val="18"/>
      <w:szCs w:val="18"/>
    </w:rPr>
  </w:style>
  <w:style w:type="paragraph" w:styleId="4">
    <w:name w:val="header"/>
    <w:basedOn w:val="1"/>
    <w:link w:val="10"/>
    <w:uiPriority w:val="0"/>
    <w:pPr>
      <w:pBdr>
        <w:bottom w:val="single" w:color="auto" w:sz="6" w:space="1"/>
      </w:pBdr>
      <w:tabs>
        <w:tab w:val="center" w:pos="4153"/>
        <w:tab w:val="right" w:pos="8306"/>
      </w:tabs>
      <w:snapToGrid w:val="0"/>
      <w:jc w:val="center"/>
    </w:pPr>
    <w:rPr>
      <w:sz w:val="18"/>
      <w:szCs w:val="18"/>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style>
  <w:style w:type="paragraph" w:customStyle="1" w:styleId="9">
    <w:name w:val="Table Paragraph"/>
    <w:basedOn w:val="1"/>
    <w:qFormat/>
    <w:uiPriority w:val="1"/>
    <w:pPr>
      <w:ind w:left="107"/>
    </w:pPr>
  </w:style>
  <w:style w:type="character" w:customStyle="1" w:styleId="10">
    <w:name w:val="页眉 字符"/>
    <w:basedOn w:val="6"/>
    <w:link w:val="4"/>
    <w:uiPriority w:val="0"/>
    <w:rPr>
      <w:rFonts w:ascii="仿宋" w:hAnsi="仿宋" w:eastAsia="仿宋" w:cs="仿宋"/>
      <w:sz w:val="18"/>
      <w:szCs w:val="18"/>
      <w:lang w:val="zh-CN" w:bidi="zh-CN"/>
    </w:rPr>
  </w:style>
  <w:style w:type="character" w:customStyle="1" w:styleId="11">
    <w:name w:val="页脚 字符"/>
    <w:basedOn w:val="6"/>
    <w:link w:val="3"/>
    <w:qFormat/>
    <w:uiPriority w:val="0"/>
    <w:rPr>
      <w:rFonts w:ascii="仿宋" w:hAnsi="仿宋" w:eastAsia="仿宋" w:cs="仿宋"/>
      <w:sz w:val="18"/>
      <w:szCs w:val="18"/>
      <w:lang w:val="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1675</Words>
  <Characters>1720</Characters>
  <Lines>16</Lines>
  <Paragraphs>4</Paragraphs>
  <TotalTime>7</TotalTime>
  <ScaleCrop>false</ScaleCrop>
  <LinksUpToDate>false</LinksUpToDate>
  <CharactersWithSpaces>1739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2024-05-16T06:10:00Z</dcterms:created>
  <dc:creator>杨展</dc:creator>
  <cp:lastModifiedBy>杭州格林达</cp:lastModifiedBy>
  <dcterms:modified xsi:type="dcterms:W3CDTF">2026-05-21T06:48:48Z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2022-07-29T00:00:00Z</vt:filetime>
  </property>
  <property fmtid="{D5CDD505-2E9C-101B-9397-08002B2CF9AE}" pid="3" name="Creator">
    <vt:lpwstr>Microsoft® Word 2010</vt:lpwstr>
  </property>
  <property fmtid="{D5CDD505-2E9C-101B-9397-08002B2CF9AE}" pid="4" name="LastSaved">
    <vt:filetime>2022-11-24T00:00:00Z</vt:filetime>
  </property>
  <property fmtid="{D5CDD505-2E9C-101B-9397-08002B2CF9AE}" pid="5" name="KSOProductBuildVer">
    <vt:lpwstr>2052-12.1.0.26375</vt:lpwstr>
  </property>
  <property fmtid="{D5CDD505-2E9C-101B-9397-08002B2CF9AE}" pid="6" name="KSOTemplateDocerSaveRecord">
    <vt:lpwstr>eyJoZGlkIjoiYjM1MzI5ZjdhYjMwMjg0OGUxNWUzZTQ2ZjVlODNmMGMiLCJ1c2VySWQiOiI1MjM0NDMzMTIifQ==</vt:lpwstr>
  </property>
  <property fmtid="{D5CDD505-2E9C-101B-9397-08002B2CF9AE}" pid="7" name="ICV">
    <vt:lpwstr>719CA5EBD98D43FE99359ED8267877C8_13</vt:lpwstr>
  </property>
</Properties>
</file>