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B9DED" w14:textId="023D0242" w:rsidR="002F380C" w:rsidRDefault="005D46D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证券代码</w:t>
      </w:r>
      <w:r>
        <w:rPr>
          <w:rFonts w:ascii="Times New Roman" w:hAnsi="Times New Roman" w:cs="Times New Roman"/>
          <w:szCs w:val="21"/>
        </w:rPr>
        <w:t xml:space="preserve">:601568                                              </w:t>
      </w:r>
      <w:r>
        <w:rPr>
          <w:rFonts w:ascii="Times New Roman" w:hAnsi="Times New Roman" w:cs="Times New Roman"/>
          <w:szCs w:val="21"/>
        </w:rPr>
        <w:t>证券简称</w:t>
      </w:r>
      <w:r>
        <w:rPr>
          <w:rFonts w:ascii="Times New Roman" w:hAnsi="Times New Roman" w:cs="Times New Roman"/>
          <w:szCs w:val="21"/>
        </w:rPr>
        <w:t>:</w:t>
      </w:r>
      <w:r>
        <w:rPr>
          <w:rFonts w:ascii="Times New Roman" w:hAnsi="Times New Roman" w:cs="Times New Roman"/>
          <w:szCs w:val="21"/>
        </w:rPr>
        <w:t>北元</w:t>
      </w:r>
      <w:r w:rsidR="00AA3AEC">
        <w:rPr>
          <w:rFonts w:ascii="Times New Roman" w:hAnsi="Times New Roman" w:cs="Times New Roman" w:hint="eastAsia"/>
          <w:szCs w:val="21"/>
        </w:rPr>
        <w:t>化工</w:t>
      </w:r>
    </w:p>
    <w:p w14:paraId="4DB697DD" w14:textId="77777777" w:rsidR="002F380C" w:rsidRDefault="002F3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CE268" w14:textId="77777777" w:rsidR="002F380C" w:rsidRDefault="002F38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6A9EA" w14:textId="77777777" w:rsidR="002F380C" w:rsidRDefault="005D46D6">
      <w:pPr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陕西北元化工集团股份有限公司</w:t>
      </w:r>
    </w:p>
    <w:p w14:paraId="5CA152D8" w14:textId="15D02FD2" w:rsidR="002F380C" w:rsidRDefault="005D46D6">
      <w:pPr>
        <w:pStyle w:val="a5"/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202</w:t>
      </w:r>
      <w:r w:rsidR="00AA3AEC">
        <w:rPr>
          <w:rFonts w:ascii="Times New Roman" w:hAnsi="Times New Roman" w:cs="Times New Roman" w:hint="eastAsia"/>
          <w:b/>
          <w:bCs/>
          <w:color w:val="FF0000"/>
          <w:sz w:val="36"/>
          <w:szCs w:val="36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年陕西辖区上市公司投资者集体接待日</w:t>
      </w:r>
    </w:p>
    <w:p w14:paraId="33F40455" w14:textId="6D04B3C5" w:rsidR="002F380C" w:rsidRDefault="005D46D6">
      <w:pPr>
        <w:pStyle w:val="a5"/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暨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202</w:t>
      </w:r>
      <w:r w:rsidR="00AA3AEC">
        <w:rPr>
          <w:rFonts w:ascii="Times New Roman" w:hAnsi="Times New Roman" w:cs="Times New Roman" w:hint="eastAsia"/>
          <w:b/>
          <w:bCs/>
          <w:color w:val="FF0000"/>
          <w:sz w:val="36"/>
          <w:szCs w:val="36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年度业绩说明会会议记录</w:t>
      </w:r>
    </w:p>
    <w:p w14:paraId="3356FEE1" w14:textId="77777777" w:rsidR="002F380C" w:rsidRDefault="002F380C">
      <w:pPr>
        <w:rPr>
          <w:rFonts w:ascii="Times New Roman" w:hAnsi="Times New Roman" w:cs="Times New Roman"/>
          <w:sz w:val="24"/>
          <w:szCs w:val="24"/>
        </w:rPr>
      </w:pPr>
    </w:p>
    <w:p w14:paraId="2B7CDAF3" w14:textId="306612F0" w:rsidR="002F380C" w:rsidRDefault="005D46D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陕西北元化工集团股份有限公司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以下简称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”)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于</w:t>
      </w:r>
      <w:bookmarkStart w:id="0" w:name="OLE_LINK2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日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15:00-17:00</w:t>
      </w:r>
      <w:bookmarkEnd w:id="0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在全景路</w:t>
      </w:r>
      <w:proofErr w:type="gramStart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演中心</w:t>
      </w:r>
      <w:proofErr w:type="gramEnd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以</w:t>
      </w:r>
      <w:bookmarkStart w:id="1" w:name="OLE_LINK3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网络方式参加了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“202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年陕西辖区上市公司投资者集体接待日暨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年度业绩说明会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”</w:t>
      </w:r>
      <w:bookmarkEnd w:id="1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，关于本次业绩说明会的召开事项，公司已于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13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日在上海证券交易所网站（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http://www.sse.com.cn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）披露了《陕西北元化工集团股份有限公司关于参加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“202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年陕西辖区上市公司投资者集体接待日暨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AA3AEC">
        <w:rPr>
          <w:rFonts w:ascii="Times New Roman" w:eastAsia="宋体" w:hAnsi="Times New Roman" w:cs="Times New Roman" w:hint="eastAsia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年度业绩</w:t>
      </w:r>
      <w:bookmarkStart w:id="2" w:name="OLE_LINK1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说明会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的公告</w:t>
      </w:r>
      <w:bookmarkEnd w:id="2"/>
      <w: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》。</w:t>
      </w:r>
    </w:p>
    <w:p w14:paraId="6FE8749D" w14:textId="77777777" w:rsidR="002F380C" w:rsidRDefault="005D46D6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一、本次业绩说明会召开情况</w:t>
      </w:r>
    </w:p>
    <w:p w14:paraId="43CEB128" w14:textId="0BF04AC0" w:rsidR="002F380C" w:rsidRDefault="005D46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A3AEC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日，</w:t>
      </w:r>
      <w:r w:rsidR="00AA3AEC" w:rsidRPr="00AA3AEC">
        <w:rPr>
          <w:rFonts w:ascii="Times New Roman" w:hAnsi="Times New Roman" w:cs="Times New Roman" w:hint="eastAsia"/>
          <w:sz w:val="24"/>
          <w:szCs w:val="24"/>
        </w:rPr>
        <w:t>公司董事长史彦勇</w:t>
      </w:r>
      <w:r w:rsidR="00AA3AEC">
        <w:rPr>
          <w:rFonts w:ascii="Times New Roman" w:hAnsi="Times New Roman" w:cs="Times New Roman" w:hint="eastAsia"/>
          <w:sz w:val="24"/>
          <w:szCs w:val="24"/>
        </w:rPr>
        <w:t>先生</w:t>
      </w:r>
      <w:r w:rsidR="00AA3AEC" w:rsidRPr="00AA3AEC">
        <w:rPr>
          <w:rFonts w:ascii="Times New Roman" w:hAnsi="Times New Roman" w:cs="Times New Roman" w:hint="eastAsia"/>
          <w:sz w:val="24"/>
          <w:szCs w:val="24"/>
        </w:rPr>
        <w:t>，独立董事李琼</w:t>
      </w:r>
      <w:r w:rsidR="00AA3AEC">
        <w:rPr>
          <w:rFonts w:ascii="Times New Roman" w:hAnsi="Times New Roman" w:cs="Times New Roman" w:hint="eastAsia"/>
          <w:sz w:val="24"/>
          <w:szCs w:val="24"/>
        </w:rPr>
        <w:t>女士</w:t>
      </w:r>
      <w:r w:rsidR="00AA3AEC" w:rsidRPr="00AA3AEC">
        <w:rPr>
          <w:rFonts w:ascii="Times New Roman" w:hAnsi="Times New Roman" w:cs="Times New Roman" w:hint="eastAsia"/>
          <w:sz w:val="24"/>
          <w:szCs w:val="24"/>
        </w:rPr>
        <w:t>，财务总监石鸿战</w:t>
      </w:r>
      <w:r w:rsidR="00AA3AEC">
        <w:rPr>
          <w:rFonts w:ascii="Times New Roman" w:hAnsi="Times New Roman" w:cs="Times New Roman" w:hint="eastAsia"/>
          <w:sz w:val="24"/>
          <w:szCs w:val="24"/>
        </w:rPr>
        <w:t>先生</w:t>
      </w:r>
      <w:r w:rsidR="00AA3AEC" w:rsidRPr="00AA3AEC">
        <w:rPr>
          <w:rFonts w:ascii="Times New Roman" w:hAnsi="Times New Roman" w:cs="Times New Roman" w:hint="eastAsia"/>
          <w:sz w:val="24"/>
          <w:szCs w:val="24"/>
        </w:rPr>
        <w:t>，董事会秘书刘娜</w:t>
      </w:r>
      <w:r w:rsidR="00AA3AEC">
        <w:rPr>
          <w:rFonts w:ascii="Times New Roman" w:hAnsi="Times New Roman" w:cs="Times New Roman" w:hint="eastAsia"/>
          <w:sz w:val="24"/>
          <w:szCs w:val="24"/>
        </w:rPr>
        <w:t>女士</w:t>
      </w:r>
      <w:r>
        <w:rPr>
          <w:rFonts w:ascii="Times New Roman" w:hAnsi="Times New Roman" w:cs="Times New Roman"/>
          <w:sz w:val="24"/>
          <w:szCs w:val="24"/>
        </w:rPr>
        <w:t>出席了本次业绩说明会，就投资者关心的问题在信息披露允许的范围内进行了回答。</w:t>
      </w:r>
    </w:p>
    <w:p w14:paraId="6B6F2AC3" w14:textId="77777777" w:rsidR="002F380C" w:rsidRDefault="005D46D6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二、本次业绩说明会投资者关心的问题及公司答复情况</w:t>
      </w:r>
    </w:p>
    <w:p w14:paraId="17C9ED72" w14:textId="0DDAF68F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目前公司是否有往新能源转型的产品</w:t>
      </w:r>
      <w:r w:rsidR="00BA096C">
        <w:rPr>
          <w:rFonts w:ascii="Times New Roman" w:hAnsi="Times New Roman" w:hint="eastAsia"/>
          <w:bCs/>
          <w:sz w:val="24"/>
          <w:szCs w:val="24"/>
        </w:rPr>
        <w:t>？</w:t>
      </w:r>
      <w:bookmarkStart w:id="3" w:name="_GoBack"/>
      <w:bookmarkEnd w:id="3"/>
    </w:p>
    <w:p w14:paraId="170F8A46" w14:textId="1056A4B6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尊敬的投资者，您好。公司正稳步推进绿色低碳新能源转型，现阶段核心落地项目为自建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300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兆瓦光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伏绿电项目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，年发电量超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亿度。未来公司将持续依托光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伏绿电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资源，深化“新能源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精细化工”融合发展模式，持续推进节能降碳、绿色转型，稳步丰富公司新能源及低碳产业布局，推动企业高质量可持续发展。谢谢。</w:t>
      </w:r>
    </w:p>
    <w:p w14:paraId="64DDEFC3" w14:textId="6AE486A8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面对化工行业下行的形势，公司都采取了哪些具体措施来应对市场压力？</w:t>
      </w:r>
    </w:p>
    <w:p w14:paraId="38CF1F2A" w14:textId="72AD4E18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2025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年，面对市场持续低迷、产品价格大幅下行等严峻复杂形势，公司聚焦市场化发展，围绕产销协同、市场拓展、提质增效，强化内外协作，实现了生产经营与成本管控的双向提升。原料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端加强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电石战略合作，推行原煤“以量计价”“以质计价”；提高“零元采购”“有偿处置”固废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lastRenderedPageBreak/>
        <w:t>比例，降低水泥成本；推动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14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类进口物资国产化。以市场需求为导向，推行特种树脂定制化生产，优化“日定价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月复盘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期现结合”机制，开展套保与点价销售；深化国际市场开发，扩大聚氯乙烯出口规模；推行铁路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物流总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包、机械化装车和运输竞价，全方位压降运输成本。谢谢。</w:t>
      </w:r>
    </w:p>
    <w:p w14:paraId="3BD142DC" w14:textId="2C7AF09C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3.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公司主要产品的产量是否达到了年初的预期？</w:t>
      </w:r>
    </w:p>
    <w:p w14:paraId="4FC3E9FD" w14:textId="214BE904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2025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年，公司生产聚氯乙烯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136.04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万吨，完成年度计划的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106.28%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；生产烧碱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90.31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万吨，完成年度计划的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106.25%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；生产水泥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261.72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万吨，完成年度计划的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109.05%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。谢谢。</w:t>
      </w:r>
    </w:p>
    <w:p w14:paraId="7D2762E1" w14:textId="17F6EB48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在技术创新方面，公司整体布局是怎样的？去年有没有什么具体的成果？</w:t>
      </w:r>
    </w:p>
    <w:p w14:paraId="45A70F49" w14:textId="2A4F2A45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尊敬的投资者，您好。公司瞄准企业发展战略需求，持续完善科技创新体系、加快科技成果转化应用，凝聚科技创新强大合力。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2025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年，公司的技术核心优势贯穿生产的整个流程，覆盖创新的全链条，形成了独具特色的技术竞争力。在产品研发方面，公司在特种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PVC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树脂研发中持续突破，成功研发并生产出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BYGZ1200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型树脂，树脂产品型号达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45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种。聚合反应消光剂连续滴加技术成功落地应用，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PVC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树脂生产技术不断创新。在无汞催化技术方面，公司完成了多种无汞催化剂性能的系统性评价，建成了催化剂性能数据库，无汞催化工艺技术达到国际领先水平。公司自主开发的《无汞触媒中金含量分析方法》获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批成为氯碱行业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团体标准，填补了行业检测标准的空白，为无汞触媒的质量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管控及工艺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应用提供了权威的技术依据。在绿色低碳方面，公司开发的二氧化碳加氢制航空煤油技术达到国内领先水平，为二氧化碳高值化利用奠定了坚实基础。谢谢。</w:t>
      </w:r>
    </w:p>
    <w:p w14:paraId="7D61B181" w14:textId="54472FF4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5.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据我所知化工行业很多工厂都建在偏远地区，运输成本很高，咱们公司是怎么解决这个问题的？会不会因为运费吃掉不少利润？</w:t>
      </w:r>
    </w:p>
    <w:p w14:paraId="3AB7FE94" w14:textId="2B3D32C0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尊敬的投资者，您好。公司地处神府地区，位于国家级高端能源化工基地核心区域，政策支持稳定、力度大，煤炭、原盐资源丰富，产业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链原料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供给充足，且距离东南沿海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PVC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主消费地及山西、内蒙古等氧化铝企业（烧碱下游企业）集中地较近，铁路与公路运输条件便利。同时公司已经形成较大产业集群，生产单元上下游衔接紧密，产品实现标准化生产，与相关大型企业建立了长期稳定的战略合作关系，大幅度降低了采购运销、能源利用等成本，企业规模效应突出。谢谢。</w:t>
      </w:r>
    </w:p>
    <w:p w14:paraId="11551D95" w14:textId="6BAB4FA0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6.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公司在降本增效方面工作有什么布局吗，是否有什么具体的动作？</w:t>
      </w:r>
    </w:p>
    <w:p w14:paraId="40FFC56A" w14:textId="0E26F078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紧扣“双增双节”工作主线，坚定不移实施低成本发展战略，构建起战略成本、政策成本、管理成本、产品成本协同联动的“四位一体”大成本分级管控体系。围绕生产提效、流通节流、市场增收、管理控费，从产业布局、财税融资、合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规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管理等源头压降成本，持续优化产品结构，加快新技术、新工艺、新材料推广应用。深入推进增产增收、节约节支，严控非生产性费用开支，精准匹配市场需求；通过物资联采、竞价招标等优化供应链生态，强化内部协同，全面提升运营效率与经济效益。谢谢。</w:t>
      </w:r>
    </w:p>
    <w:p w14:paraId="67636BE3" w14:textId="1639F11C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7.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在落实国企改革要求方面，公司主要开展了哪些管理提升行动？</w:t>
      </w:r>
    </w:p>
    <w:p w14:paraId="5E4BC6DA" w14:textId="14E44EB3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为落实新一轮国企改革要求，开展管理效能提升三年行动，进一步厘清职能部门与生产单位的职责边界；深化“三定”改革，优化考核管理，在经营部门试行“创效激励”，在分子公司推行过程管控考核和经理班子任期制考核，对中层管理人员进行“年薪制”改革；完善培训体系，实施“一人一岗一册”标准化学习及认证，建立积分考核机制，实现培训精准赋能。谢谢。</w:t>
      </w:r>
    </w:p>
    <w:p w14:paraId="0F679E45" w14:textId="123D89F6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8.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公司建立了怎样的人才培养体系？对提升人才质量起到了什么实际作用？</w:t>
      </w:r>
    </w:p>
    <w:p w14:paraId="4143F7B2" w14:textId="3F737360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尊敬的投资者，您好。公司始终重视企业文化与人才队伍建设，遵循“以人为本”与“文化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品牌”的战略思想，在探索和实践中形成了以“责任”为主线的北元“聚·和”文化，扎实推进安全文化、质量文化、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廉洁文化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等子文化落地，将企业文化与管理有机融合，使企业文化内化于心、固化于制、外化于行，走出了一条“北元模式”引领下的独具特色的管理之路、强企之路。在企业人才理念的引领下，公司聚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力人才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引进来、用得好、留得住，实施“逢进必试”的公开、择优招聘制度。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构建多元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有效的人才培养体系，通过递进式培养、专业化实训、多平台结合，不断提升各层级人员能力素质，畅通管理、技术、技能“三位一体”的职业发展通道，为公司高质量可持续发展提供强有力人才支撑。谢谢。</w:t>
      </w:r>
    </w:p>
    <w:p w14:paraId="745BC241" w14:textId="1E198015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9.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公司在“数智化”转型方面主要取得了哪些成果？整体亮点是什么？</w:t>
      </w:r>
    </w:p>
    <w:p w14:paraId="65A192DA" w14:textId="727B40EA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2025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年，公司持续</w:t>
      </w:r>
      <w:proofErr w:type="gramStart"/>
      <w:r w:rsidR="00AA3AEC" w:rsidRPr="00AA3AEC">
        <w:rPr>
          <w:rFonts w:ascii="Times New Roman" w:hAnsi="Times New Roman" w:hint="eastAsia"/>
          <w:bCs/>
          <w:sz w:val="24"/>
          <w:szCs w:val="24"/>
        </w:rPr>
        <w:t>深化数智引领</w:t>
      </w:r>
      <w:proofErr w:type="gramEnd"/>
      <w:r w:rsidR="00AA3AEC" w:rsidRPr="00AA3AEC">
        <w:rPr>
          <w:rFonts w:ascii="Times New Roman" w:hAnsi="Times New Roman" w:hint="eastAsia"/>
          <w:bCs/>
          <w:sz w:val="24"/>
          <w:szCs w:val="24"/>
        </w:rPr>
        <w:t>，“工业互联网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危化安全生产”项目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个平台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个数智化系统实现全面落地，实现安全生产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lastRenderedPageBreak/>
        <w:t>过程“高效规范、实时监控、智能优化”的新业务发展模式；打造决策智能化的设备完好性系统，收集基础设备数据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10.6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万条，形成设备管理的标准化体系；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300MW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光伏发电项目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9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套远程控制系统及无人机巡检系统上线运行，为光伏电站稳定运行提供保障；搭建水泥公司超低排放一体化平台，形成“监测－管控－治理”的闭环体系；完成核心系统数据全面治理工作，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ERP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系统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7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个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RPA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财务智能收票机器人场景上线，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6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种水泥原料实现自动结算；公司被陕西省工业和信息化厅评为“陕西省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2025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年度先进级智能工厂”，基于工业互联网的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AI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智能视频分析系统获选“第七届智慧企业建设创新标杆案例”。谢谢。</w:t>
      </w:r>
    </w:p>
    <w:p w14:paraId="56053266" w14:textId="2B2A09B3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10.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目前的销售模式是怎么设计的？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PVC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和烧碱产品在销售上有什么区别？</w:t>
      </w:r>
    </w:p>
    <w:p w14:paraId="3FBDC085" w14:textId="1346E7DD" w:rsidR="002F380C" w:rsidRDefault="005D46D6">
      <w:pPr>
        <w:pStyle w:val="Style6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答：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尊敬的投资者，您好。公司立足行业发展新形势，积极创新营销模式，全面拓展“国内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国外”“期货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+</w:t>
      </w:r>
      <w:r w:rsidR="00AA3AEC" w:rsidRPr="00AA3AEC">
        <w:rPr>
          <w:rFonts w:ascii="Times New Roman" w:hAnsi="Times New Roman" w:hint="eastAsia"/>
          <w:bCs/>
          <w:sz w:val="24"/>
          <w:szCs w:val="24"/>
        </w:rPr>
        <w:t>现货”多模式营销体系，形成了经销、直销、出口及期货相结合的销售模式。其中，聚氯乙烯产品终端客户较为分散，主要采取经销、期货和出口等模式进行销售，液态烧碱对运输及储存条件要求较高，主要采取直销模式进行销售。公司在经销商客户日常管理、客户关系维护等方面相关内控制度健全并有效执行，拥有稳定的优质客户群体。谢谢。</w:t>
      </w:r>
    </w:p>
    <w:sectPr w:rsidR="002F380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C08D5" w14:textId="77777777" w:rsidR="001265BB" w:rsidRDefault="001265BB">
      <w:r>
        <w:separator/>
      </w:r>
    </w:p>
  </w:endnote>
  <w:endnote w:type="continuationSeparator" w:id="0">
    <w:p w14:paraId="4B03F95D" w14:textId="77777777" w:rsidR="001265BB" w:rsidRDefault="0012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69438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F65A982" w14:textId="77777777" w:rsidR="002F380C" w:rsidRPr="00466CD5" w:rsidRDefault="005D46D6">
        <w:pPr>
          <w:pStyle w:val="a3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466CD5">
          <w:rPr>
            <w:rFonts w:asciiTheme="minorEastAsia" w:hAnsiTheme="minorEastAsia"/>
            <w:sz w:val="28"/>
            <w:szCs w:val="28"/>
          </w:rPr>
          <w:fldChar w:fldCharType="begin"/>
        </w:r>
        <w:r w:rsidRPr="00466CD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66CD5">
          <w:rPr>
            <w:rFonts w:asciiTheme="minorEastAsia" w:hAnsiTheme="minorEastAsia"/>
            <w:sz w:val="28"/>
            <w:szCs w:val="28"/>
          </w:rPr>
          <w:fldChar w:fldCharType="separate"/>
        </w:r>
        <w:r w:rsidR="00BA096C" w:rsidRPr="00BA096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A096C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466CD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0733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B42AF89" w14:textId="39CB8F80" w:rsidR="002F380C" w:rsidRDefault="005D46D6">
        <w:pPr>
          <w:pStyle w:val="a3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BA096C" w:rsidRPr="00BA096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A096C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7AA53" w14:textId="77777777" w:rsidR="001265BB" w:rsidRDefault="001265BB">
      <w:r>
        <w:separator/>
      </w:r>
    </w:p>
  </w:footnote>
  <w:footnote w:type="continuationSeparator" w:id="0">
    <w:p w14:paraId="70C96184" w14:textId="77777777" w:rsidR="001265BB" w:rsidRDefault="0012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TQyZjQyYjcyOTliYmI1MTBmY2UwN2ViYTVkNmUifQ=="/>
  </w:docVars>
  <w:rsids>
    <w:rsidRoot w:val="005400DC"/>
    <w:rsid w:val="00007974"/>
    <w:rsid w:val="000351C5"/>
    <w:rsid w:val="0005232F"/>
    <w:rsid w:val="00085C30"/>
    <w:rsid w:val="00094A4E"/>
    <w:rsid w:val="000B0215"/>
    <w:rsid w:val="000B7DAC"/>
    <w:rsid w:val="000C1F04"/>
    <w:rsid w:val="000C5A89"/>
    <w:rsid w:val="000D6FAC"/>
    <w:rsid w:val="00101809"/>
    <w:rsid w:val="00104B68"/>
    <w:rsid w:val="00104E3A"/>
    <w:rsid w:val="00106D0F"/>
    <w:rsid w:val="001117FF"/>
    <w:rsid w:val="00112177"/>
    <w:rsid w:val="001148A5"/>
    <w:rsid w:val="001260CE"/>
    <w:rsid w:val="001265BB"/>
    <w:rsid w:val="00132789"/>
    <w:rsid w:val="00147AC3"/>
    <w:rsid w:val="0017053C"/>
    <w:rsid w:val="00173111"/>
    <w:rsid w:val="0017714A"/>
    <w:rsid w:val="00181D32"/>
    <w:rsid w:val="00186C37"/>
    <w:rsid w:val="00193565"/>
    <w:rsid w:val="001A0C1C"/>
    <w:rsid w:val="001A717E"/>
    <w:rsid w:val="001B3209"/>
    <w:rsid w:val="001B536D"/>
    <w:rsid w:val="001B6A0E"/>
    <w:rsid w:val="001F041A"/>
    <w:rsid w:val="001F3FE7"/>
    <w:rsid w:val="001F7378"/>
    <w:rsid w:val="00200764"/>
    <w:rsid w:val="00200808"/>
    <w:rsid w:val="00203D27"/>
    <w:rsid w:val="00221309"/>
    <w:rsid w:val="00226041"/>
    <w:rsid w:val="00250221"/>
    <w:rsid w:val="00250AED"/>
    <w:rsid w:val="00264F7E"/>
    <w:rsid w:val="0028210B"/>
    <w:rsid w:val="002B641B"/>
    <w:rsid w:val="002D6AA7"/>
    <w:rsid w:val="002F380C"/>
    <w:rsid w:val="002F46B8"/>
    <w:rsid w:val="002F6526"/>
    <w:rsid w:val="0030735F"/>
    <w:rsid w:val="00312D51"/>
    <w:rsid w:val="00324CA1"/>
    <w:rsid w:val="003250BA"/>
    <w:rsid w:val="00332571"/>
    <w:rsid w:val="003417B6"/>
    <w:rsid w:val="00352C85"/>
    <w:rsid w:val="00365D97"/>
    <w:rsid w:val="0038200A"/>
    <w:rsid w:val="003913C0"/>
    <w:rsid w:val="003923EF"/>
    <w:rsid w:val="003A768A"/>
    <w:rsid w:val="003B175E"/>
    <w:rsid w:val="003B2355"/>
    <w:rsid w:val="003D2307"/>
    <w:rsid w:val="003E0AAF"/>
    <w:rsid w:val="003E3CCC"/>
    <w:rsid w:val="003E7D94"/>
    <w:rsid w:val="003F0208"/>
    <w:rsid w:val="00405638"/>
    <w:rsid w:val="00443F66"/>
    <w:rsid w:val="00466CD5"/>
    <w:rsid w:val="004A5E16"/>
    <w:rsid w:val="004B56AF"/>
    <w:rsid w:val="004C21A1"/>
    <w:rsid w:val="004C300E"/>
    <w:rsid w:val="004C3337"/>
    <w:rsid w:val="004C5E1B"/>
    <w:rsid w:val="004E253A"/>
    <w:rsid w:val="004F791F"/>
    <w:rsid w:val="00503232"/>
    <w:rsid w:val="00506D7D"/>
    <w:rsid w:val="00512DE3"/>
    <w:rsid w:val="00535746"/>
    <w:rsid w:val="005400DC"/>
    <w:rsid w:val="00544B63"/>
    <w:rsid w:val="00565494"/>
    <w:rsid w:val="00565976"/>
    <w:rsid w:val="005668E5"/>
    <w:rsid w:val="005733F4"/>
    <w:rsid w:val="005A1B05"/>
    <w:rsid w:val="005B234F"/>
    <w:rsid w:val="005B3069"/>
    <w:rsid w:val="005B5CA3"/>
    <w:rsid w:val="005D46D6"/>
    <w:rsid w:val="005E3A0A"/>
    <w:rsid w:val="005E3D8C"/>
    <w:rsid w:val="005F0443"/>
    <w:rsid w:val="0060200E"/>
    <w:rsid w:val="00636E57"/>
    <w:rsid w:val="00650D0F"/>
    <w:rsid w:val="00691DE2"/>
    <w:rsid w:val="006B36F2"/>
    <w:rsid w:val="006C2F02"/>
    <w:rsid w:val="006D6DA3"/>
    <w:rsid w:val="006D7640"/>
    <w:rsid w:val="006E5762"/>
    <w:rsid w:val="006E61B9"/>
    <w:rsid w:val="006E7BD3"/>
    <w:rsid w:val="00721A26"/>
    <w:rsid w:val="00741C64"/>
    <w:rsid w:val="00743FF0"/>
    <w:rsid w:val="00745C2F"/>
    <w:rsid w:val="00752A09"/>
    <w:rsid w:val="00761345"/>
    <w:rsid w:val="00763799"/>
    <w:rsid w:val="0078152F"/>
    <w:rsid w:val="007A12D9"/>
    <w:rsid w:val="007C35CB"/>
    <w:rsid w:val="007C4BE6"/>
    <w:rsid w:val="007C6A7C"/>
    <w:rsid w:val="00801210"/>
    <w:rsid w:val="00821D2D"/>
    <w:rsid w:val="00824A6C"/>
    <w:rsid w:val="00826BA3"/>
    <w:rsid w:val="008331F0"/>
    <w:rsid w:val="00842C1D"/>
    <w:rsid w:val="008441DC"/>
    <w:rsid w:val="008538D9"/>
    <w:rsid w:val="00864BEE"/>
    <w:rsid w:val="00866B96"/>
    <w:rsid w:val="0089031B"/>
    <w:rsid w:val="00891704"/>
    <w:rsid w:val="00892BB0"/>
    <w:rsid w:val="008946D2"/>
    <w:rsid w:val="008B0217"/>
    <w:rsid w:val="008B19E1"/>
    <w:rsid w:val="008B575C"/>
    <w:rsid w:val="0090288F"/>
    <w:rsid w:val="009104A4"/>
    <w:rsid w:val="0091175C"/>
    <w:rsid w:val="0093412C"/>
    <w:rsid w:val="00947124"/>
    <w:rsid w:val="009573BC"/>
    <w:rsid w:val="0098485D"/>
    <w:rsid w:val="0098754A"/>
    <w:rsid w:val="009E09AA"/>
    <w:rsid w:val="009E750A"/>
    <w:rsid w:val="009F0CB2"/>
    <w:rsid w:val="009F1254"/>
    <w:rsid w:val="00A1140C"/>
    <w:rsid w:val="00A120FB"/>
    <w:rsid w:val="00A22778"/>
    <w:rsid w:val="00A3554E"/>
    <w:rsid w:val="00A55461"/>
    <w:rsid w:val="00A730E5"/>
    <w:rsid w:val="00A75EEC"/>
    <w:rsid w:val="00A76D80"/>
    <w:rsid w:val="00A8063B"/>
    <w:rsid w:val="00A8118C"/>
    <w:rsid w:val="00A8246B"/>
    <w:rsid w:val="00A95624"/>
    <w:rsid w:val="00AA3AEC"/>
    <w:rsid w:val="00AD795F"/>
    <w:rsid w:val="00AE77BF"/>
    <w:rsid w:val="00AF2803"/>
    <w:rsid w:val="00B17DAC"/>
    <w:rsid w:val="00B31FBB"/>
    <w:rsid w:val="00B42898"/>
    <w:rsid w:val="00B54609"/>
    <w:rsid w:val="00B70E9B"/>
    <w:rsid w:val="00B80187"/>
    <w:rsid w:val="00BA096C"/>
    <w:rsid w:val="00BB3CF1"/>
    <w:rsid w:val="00BD6C16"/>
    <w:rsid w:val="00BF189D"/>
    <w:rsid w:val="00C12C88"/>
    <w:rsid w:val="00C15F9A"/>
    <w:rsid w:val="00C236B1"/>
    <w:rsid w:val="00C31344"/>
    <w:rsid w:val="00C326F1"/>
    <w:rsid w:val="00C34C5C"/>
    <w:rsid w:val="00C35863"/>
    <w:rsid w:val="00C43501"/>
    <w:rsid w:val="00C62366"/>
    <w:rsid w:val="00C84005"/>
    <w:rsid w:val="00C86D72"/>
    <w:rsid w:val="00CC0E9D"/>
    <w:rsid w:val="00CC2453"/>
    <w:rsid w:val="00CC7EDB"/>
    <w:rsid w:val="00CD16E6"/>
    <w:rsid w:val="00CE1F4F"/>
    <w:rsid w:val="00D03D34"/>
    <w:rsid w:val="00D35B91"/>
    <w:rsid w:val="00D4412F"/>
    <w:rsid w:val="00D44C19"/>
    <w:rsid w:val="00D65A35"/>
    <w:rsid w:val="00D76667"/>
    <w:rsid w:val="00D8452E"/>
    <w:rsid w:val="00D93A6C"/>
    <w:rsid w:val="00D93FCF"/>
    <w:rsid w:val="00D95387"/>
    <w:rsid w:val="00DA4177"/>
    <w:rsid w:val="00DB2FC6"/>
    <w:rsid w:val="00DC1EFD"/>
    <w:rsid w:val="00DD2921"/>
    <w:rsid w:val="00DE5044"/>
    <w:rsid w:val="00DE7783"/>
    <w:rsid w:val="00DF331B"/>
    <w:rsid w:val="00DF7A61"/>
    <w:rsid w:val="00E06603"/>
    <w:rsid w:val="00E20061"/>
    <w:rsid w:val="00E231FB"/>
    <w:rsid w:val="00E36667"/>
    <w:rsid w:val="00E52DC0"/>
    <w:rsid w:val="00E75E9A"/>
    <w:rsid w:val="00E82554"/>
    <w:rsid w:val="00E8286C"/>
    <w:rsid w:val="00E919BE"/>
    <w:rsid w:val="00E92A75"/>
    <w:rsid w:val="00EB2E7D"/>
    <w:rsid w:val="00EC08B2"/>
    <w:rsid w:val="00EC7CA8"/>
    <w:rsid w:val="00ED72E5"/>
    <w:rsid w:val="00EF08CC"/>
    <w:rsid w:val="00F04BAA"/>
    <w:rsid w:val="00F11AA2"/>
    <w:rsid w:val="00F31356"/>
    <w:rsid w:val="00F434F4"/>
    <w:rsid w:val="00F67CA1"/>
    <w:rsid w:val="00F9617A"/>
    <w:rsid w:val="00FA0417"/>
    <w:rsid w:val="00FB2FC7"/>
    <w:rsid w:val="00FC24F1"/>
    <w:rsid w:val="00FD2FE6"/>
    <w:rsid w:val="12AB3655"/>
    <w:rsid w:val="13E009F4"/>
    <w:rsid w:val="210068D6"/>
    <w:rsid w:val="27C8706A"/>
    <w:rsid w:val="2DFB59E3"/>
    <w:rsid w:val="31CB78BA"/>
    <w:rsid w:val="37F459E3"/>
    <w:rsid w:val="48781B56"/>
    <w:rsid w:val="778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6CD3-7F72-461B-B5C7-C8F50D46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梁军</cp:lastModifiedBy>
  <cp:revision>74</cp:revision>
  <dcterms:created xsi:type="dcterms:W3CDTF">2022-04-28T06:09:00Z</dcterms:created>
  <dcterms:modified xsi:type="dcterms:W3CDTF">2026-05-21T00:49:00Z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3D466553FB454F6E9F07B4172D9E47E8_13</vt:lpwstr>
  </property>
  <property fmtid="{D5CDD505-2E9C-101B-9397-08002B2CF9AE}" pid="4" name="KSOTemplateDocerSaveRecord">
    <vt:lpwstr>eyJoZGlkIjoiYjJmNTQyZjQyYjcyOTliYmI1MTBmY2UwN2ViYTVkNmUiLCJ1c2VySWQiOiI3MzkwOTg0OTQifQ==</vt:lpwstr>
  </property>
</Properties>
</file>