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rPr>
          <w:rFonts w:ascii="宋体" w:hAnsi="宋体"/>
          <w:b/>
          <w:bCs/>
          <w:iCs/>
          <w:szCs w:val="21"/>
        </w:rPr>
      </w:pPr>
      <w:r>
        <w:rPr>
          <w:rFonts w:hint="eastAsia" w:ascii="方正小标宋简体" w:hAnsi="宋体" w:eastAsia="方正小标宋简体"/>
          <w:bCs/>
          <w:iCs/>
          <w:szCs w:val="21"/>
        </w:rPr>
        <w:t>证券代码：600880                                             证券简称：博瑞传播</w:t>
      </w:r>
    </w:p>
    <w:p>
      <w:pPr>
        <w:spacing w:before="156" w:beforeLines="50" w:after="156"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成都博瑞传播股份有限公司投资者关系活动记录表</w:t>
      </w:r>
    </w:p>
    <w:p>
      <w:pPr>
        <w:spacing w:line="520" w:lineRule="exact"/>
        <w:rPr>
          <w:rFonts w:hint="default" w:ascii="宋体" w:hAnsi="宋体" w:eastAsia="宋体"/>
          <w:bCs/>
          <w:iCs/>
          <w:szCs w:val="21"/>
          <w:lang w:val="en-US" w:eastAsia="zh-CN"/>
        </w:rPr>
      </w:pPr>
      <w:r>
        <w:rPr>
          <w:rFonts w:ascii="宋体" w:hAnsi="宋体"/>
          <w:bCs/>
          <w:iCs/>
          <w:sz w:val="24"/>
        </w:rPr>
        <w:t xml:space="preserve">                                                         </w:t>
      </w:r>
      <w:r>
        <w:rPr>
          <w:rFonts w:hint="eastAsia" w:ascii="宋体" w:hAnsi="宋体"/>
          <w:bCs/>
          <w:iCs/>
          <w:szCs w:val="21"/>
        </w:rPr>
        <w:t>编号：</w:t>
      </w:r>
      <w:r>
        <w:rPr>
          <w:rFonts w:hint="eastAsia" w:ascii="宋体" w:hAnsi="宋体"/>
          <w:bCs/>
          <w:iCs/>
          <w:szCs w:val="21"/>
          <w:lang w:val="en-US" w:eastAsia="zh-CN"/>
        </w:rPr>
        <w:t>2026-005</w:t>
      </w:r>
    </w:p>
    <w:tbl>
      <w:tblPr>
        <w:tblStyle w:val="4"/>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579" w:type="dxa"/>
            <w:shd w:val="clear" w:color="auto" w:fill="auto"/>
          </w:tcPr>
          <w:p>
            <w:pPr>
              <w:spacing w:line="520" w:lineRule="exact"/>
              <w:rPr>
                <w:szCs w:val="21"/>
              </w:rPr>
            </w:pPr>
            <w:r>
              <w:rPr>
                <w:rFonts w:hint="eastAsia"/>
                <w:szCs w:val="21"/>
                <w:lang w:eastAsia="zh-CN"/>
              </w:rPr>
              <w:t>□</w:t>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 xml:space="preserve">□媒体采访      </w:t>
            </w:r>
            <w:r>
              <w:rPr>
                <w:rFonts w:hint="eastAsia"/>
                <w:szCs w:val="21"/>
              </w:rPr>
              <w:sym w:font="Wingdings 2" w:char="0052"/>
            </w:r>
            <w:r>
              <w:rPr>
                <w:rFonts w:hint="eastAsia"/>
                <w:szCs w:val="21"/>
                <w:lang w:val="en-US" w:eastAsia="zh-CN"/>
              </w:rPr>
              <w:t>业绩</w:t>
            </w:r>
            <w:r>
              <w:rPr>
                <w:rFonts w:hint="eastAsia"/>
                <w:szCs w:val="21"/>
              </w:rPr>
              <w:t>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573" w:type="dxa"/>
            <w:shd w:val="clear" w:color="auto" w:fill="auto"/>
            <w:vAlign w:val="center"/>
          </w:tcPr>
          <w:p>
            <w:pPr>
              <w:spacing w:line="520" w:lineRule="exact"/>
              <w:jc w:val="center"/>
              <w:rPr>
                <w:rFonts w:hint="default" w:ascii="宋体" w:hAnsi="宋体" w:eastAsia="宋体"/>
                <w:b/>
                <w:bCs/>
                <w:iCs/>
                <w:szCs w:val="21"/>
                <w:lang w:val="en-US" w:eastAsia="zh-CN"/>
              </w:rPr>
            </w:pPr>
            <w:r>
              <w:rPr>
                <w:rFonts w:hint="eastAsia" w:ascii="宋体" w:hAnsi="宋体"/>
                <w:b/>
                <w:bCs/>
                <w:iCs/>
                <w:szCs w:val="21"/>
                <w:lang w:val="en-US" w:eastAsia="zh-CN"/>
              </w:rPr>
              <w:t>会议形式</w:t>
            </w:r>
          </w:p>
        </w:tc>
        <w:tc>
          <w:tcPr>
            <w:tcW w:w="7579" w:type="dxa"/>
            <w:shd w:val="clear" w:color="auto" w:fill="auto"/>
          </w:tcPr>
          <w:p>
            <w:pPr>
              <w:spacing w:line="520" w:lineRule="exact"/>
              <w:rPr>
                <w:rFonts w:hint="default"/>
                <w:szCs w:val="21"/>
                <w:lang w:val="en-US" w:eastAsia="zh-CN"/>
              </w:rPr>
            </w:pPr>
          </w:p>
          <w:p>
            <w:pPr>
              <w:spacing w:line="520" w:lineRule="exact"/>
              <w:rPr>
                <w:rFonts w:hint="default"/>
                <w:szCs w:val="21"/>
                <w:lang w:val="en-US" w:eastAsia="zh-CN"/>
              </w:rPr>
            </w:pPr>
            <w:r>
              <w:rPr>
                <w:rFonts w:hint="eastAsia"/>
                <w:szCs w:val="21"/>
                <w:lang w:val="en-US" w:eastAsia="zh-CN"/>
              </w:rPr>
              <w:t>线上文字互动形式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579"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2026年5月21日（公司2025年年度暨2026年一季度业绩说明会）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地点</w:t>
            </w:r>
          </w:p>
        </w:tc>
        <w:tc>
          <w:tcPr>
            <w:tcW w:w="7579"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公司本部会议室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579" w:type="dxa"/>
            <w:shd w:val="clear" w:color="auto" w:fill="auto"/>
          </w:tcPr>
          <w:p>
            <w:pPr>
              <w:spacing w:line="520" w:lineRule="exact"/>
              <w:rPr>
                <w:rFonts w:hint="eastAsia"/>
                <w:szCs w:val="21"/>
                <w:lang w:val="en-US" w:eastAsia="zh-CN"/>
              </w:rPr>
            </w:pPr>
            <w:r>
              <w:rPr>
                <w:rFonts w:hint="eastAsia"/>
                <w:szCs w:val="21"/>
                <w:lang w:val="en-US" w:eastAsia="zh-CN"/>
              </w:rPr>
              <w:t>董事、总经理  黄敏杰</w:t>
            </w:r>
          </w:p>
          <w:p>
            <w:pPr>
              <w:spacing w:line="520" w:lineRule="exact"/>
              <w:rPr>
                <w:rFonts w:hint="eastAsia"/>
                <w:szCs w:val="21"/>
                <w:lang w:val="en-US" w:eastAsia="zh-CN"/>
              </w:rPr>
            </w:pPr>
            <w:r>
              <w:rPr>
                <w:rFonts w:hint="eastAsia"/>
                <w:szCs w:val="21"/>
                <w:lang w:val="en-US" w:eastAsia="zh-CN"/>
              </w:rPr>
              <w:t>董事、副总经理（代行董秘职责）  曹雪飞</w:t>
            </w:r>
          </w:p>
          <w:p>
            <w:pPr>
              <w:spacing w:line="520" w:lineRule="exact"/>
              <w:rPr>
                <w:rFonts w:hint="default" w:ascii="宋体" w:hAnsi="宋体" w:eastAsia="宋体" w:cs="宋体"/>
                <w:sz w:val="24"/>
                <w:szCs w:val="24"/>
                <w:lang w:val="en-US" w:eastAsia="zh-CN"/>
              </w:rPr>
            </w:pPr>
            <w:r>
              <w:rPr>
                <w:rFonts w:hint="eastAsia"/>
                <w:szCs w:val="21"/>
                <w:lang w:val="en-US" w:eastAsia="zh-CN"/>
              </w:rPr>
              <w:t>独立董事、审计委员会主任  王雪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579" w:type="dxa"/>
            <w:shd w:val="clear" w:color="auto" w:fill="auto"/>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提问1</w:t>
            </w:r>
            <w:r>
              <w:rPr>
                <w:rFonts w:hint="eastAsia" w:ascii="宋体" w:hAnsi="宋体"/>
                <w:b/>
                <w:bCs/>
              </w:rPr>
              <w:t>：</w:t>
            </w:r>
            <w:r>
              <w:rPr>
                <w:rFonts w:hint="eastAsia" w:ascii="宋体" w:hAnsi="宋体"/>
                <w:b/>
                <w:bCs/>
                <w:lang w:val="en-US" w:eastAsia="zh-CN"/>
              </w:rPr>
              <w:t>公司营收不足，有哪些措施稳步提升公司的营业收入？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val="0"/>
                <w:bCs w:val="0"/>
                <w:lang w:val="en-US" w:eastAsia="zh-CN"/>
              </w:rPr>
            </w:pPr>
            <w:r>
              <w:rPr>
                <w:rFonts w:hint="eastAsia" w:ascii="宋体" w:hAnsi="宋体"/>
                <w:b w:val="0"/>
                <w:bCs w:val="0"/>
                <w:lang w:val="en-US" w:eastAsia="zh-CN"/>
              </w:rPr>
              <w:t>答：尊敬的投资者您好。面对营收增长挑战，公司正积极开展战略调整，聚焦高附加值业务推动业绩稳步提升。下一阶段，公司将持续深耕智慧教育领域，加大业务拓展力度、强化项目运营能力，提</w:t>
            </w:r>
            <w:bookmarkStart w:id="3" w:name="_GoBack"/>
            <w:bookmarkEnd w:id="3"/>
            <w:r>
              <w:rPr>
                <w:rFonts w:hint="eastAsia" w:ascii="宋体" w:hAnsi="宋体"/>
                <w:b w:val="0"/>
                <w:bCs w:val="0"/>
                <w:lang w:val="en-US" w:eastAsia="zh-CN"/>
              </w:rPr>
              <w:t>升高毛利项目占比；积极拓展新媒体业务，加大营收贡献；针对游戏业务，公司将通过精细化活动策划与社群运营稳固核心用户群体，严控营销成本，为业务发展积蓄动能；依托每经科技公司在智能传播领域的技术与市场优势，完成公司传媒业务的焕新升级，坚持长期运营布局。尽管短期内公司经营仍面临一定挑战，但公司对自身业务基础以及所处赛道的长期发展前景保持充足信心。公司将坚持稳健经营与改革创新并重，通过精细化管理、成本管控与业务升级，持续提升运营效率与盈利能力，力争为股东创造更大价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提问2</w:t>
            </w:r>
            <w:r>
              <w:rPr>
                <w:rFonts w:hint="eastAsia" w:ascii="宋体" w:hAnsi="宋体"/>
                <w:b/>
                <w:bCs/>
              </w:rPr>
              <w:t>：</w:t>
            </w:r>
            <w:r>
              <w:rPr>
                <w:rFonts w:hint="eastAsia" w:ascii="宋体" w:hAnsi="宋体"/>
                <w:b/>
                <w:bCs/>
                <w:lang w:val="en-US" w:eastAsia="zh-CN"/>
              </w:rPr>
              <w:t>成都文交所2025年有没有盈利，盈利多少？2026年成都文交所在创收方面有何新的举措？</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2025年受行业环境变动和市场竞争加剧的影响，成都文交所业绩承压。目前成都文交所正积极推进交易品种的创新与丰富，国家级非遗《十二月花》（第一期）数字版权产品已于近期正式开售，这也是成都文交所拓展文化数字化应用场景的重要尝试。成都文交所现已建设完成“蛟龙”文化出海平台（文化产品国际交易暨清结算综合服务平台），致力于推动和服务优秀中国文化产品“走出去”，目前正在积极拓展港澳台地区及海外市场。未来公司将根据行业发展及实际经营进一步夯实文交所的业务基础，努力提升运营效益与服务能力。谢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提问3：股权划转的事从第一次公告到现在已经超过半年了，一个集团内部股权划转的事，为什么弄这么久，是什么原因？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本次控股股东国有股权无偿划转事项涉及国有资产监管及证券监管等审批程序，目前相关方正严格按法规履行必要流程，相关手续正在办理中，公司将持续关注并积极配合，在及时获悉股权划转双方的进展后依规披露。该事项不会对公司正常生产经营造成影响。感谢您的关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提问4：上市公司股价如此差，公司通过什么办法稳住股价，不让投资者心寒。</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公司非常重视市值管理，目前正立足自身，将公司未来发展与长期投资价值搭建视为重中之重。公司努力夯实经营管理、严把风控质量，正积极开展战略调整，聚焦高附加值业务，加大智慧管理业务拓展力度，提升新媒体业务营收体量，稳固游戏业务核心用户群体，发挥数智传播领域先发优势，稳步助推公司内在价值的恢复和提升，有效维护全体股东的利益。谢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提问5：公司作为上市多年的全国知名的文化传媒上市公司，地方国企的代表性上市公司，有没有出台过市值管理办法？公司大股东为什么不回购，是不是大股东对公司根本不看好？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公司非常重视市值管理，将自身的未来发展和长期投资价值搭建视为重中之重，坚持以规范公司治理、夯实经营管理、严把风控质量等为主要途径来稳步助推公司内在价值的恢复和提升。公司控股股东一直很重视上市公司市值管理，先后两次增持公司股份，以提振投资者信心。后续控股股东如有增持计划，公司将及时披露。感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6：管理层好，请问每经科技目前整合进度与并表推进情况如何？相关收购业绩对赌是否顺利，对赌业绩是否有部分计入二季度，现阶段能否产生利润贡献？成都文交所二季度产生的利润是否按会计准则计入上市公司二季度合并净利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每经科技已于本年1月完成工商变更并纳入合并报表范围。现阶段每经科技各项业务稳步推进，产品与服务按节奏落地推广，整体经营发展符合预期。后续公司将持续夯实数智媒体领域竞争优势，推动业务高质量发展。成都文交所早已完成并表工作。感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提问7：生学教育的业务方向是否考虑可以开发下AI教育的C端产品？B端太依赖资源了，C端更容易做强做大。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感谢您的宝贵建议。公司旗下生学教育持续在智慧管理领域开拓相关业务，积累了较为丰富的行业资源，在B端客户中树立了一定的专业度。同时公司也在认真研判C端产品的可行性，若后期有相关契机，公司将积极尝试。谢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提问8：生学教育的教育业务是否与公司的长远战略定位是否相符？公司是否能建议集团大股东考虑将文创园区资产整合注入上市公司平台？实现国有资产保值增值，做强做大！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公司聚焦“智慧管理、数字文创、现代传播”三大板块业务，生学教育深耕智慧管理领域多年，业务契合公司长期发展战略定位。截至目前，公司暂无收购大股东文旅类资产的计划。未来，公司将依托成都国资的股东背景，持续整合优质资源，致力于将公司打造为成都数字文创新经济的重要资本平台。谢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提问9：总经理上任已二月，俗话说新官上任三把火，你一把火也没有，直接选择躺平，浪费了成都传媒资源，股价跌跌不休就是对你工作否定，这是你的能力，还是机制问题，请你实话实说。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公司总经理上任以来，把主要精力放在梳理公司“智慧管理、数字文创、现代传播”等主营业务板块的优势与短板、厘清公司未来发展战略等方面，拟通过优化公司资产配置、机制等方式，努力推动公司全面向“数智化”升级，以扎实的基本面和持续的业绩增长回报广大投资者。感谢您对公司的关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10：黄总，为什么每次有机构来上市公司调研，公告一出就股价下跌，是不是发现公司没有投资价值。公司不能引进有实力的机构投资公司以稳定公司股价，相同行业同一板块的公司比我们业绩还差，股价高过我们公司几倍，是不是我们公司一点不重视自家公司的市值管理。国家有文件公司高管待遇要和公司市值管理挂钩么？公司后续对市值管理会有何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二级市场股价受宏观环境、行业变化、市场情绪等多重因素综合影响，机构调研为正常投资者交流行为，股价波动属于市场正常现象。公司高度重视市值管理工作，后续将持续聚焦主业，全力提升经营业绩与核心竞争力，积极加强与各类投资者的沟通对接，主动传递公司长期投资价值。公司严格按照国资相关管理规定落实高管考核机制，将经营效益、社会责任、市场价值纳入管理考量。同时，公司将多措并举做好投资者关系与市值维护工作，切实维护广大股东权益。感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提问11：</w:t>
            </w:r>
            <w:bookmarkStart w:id="0" w:name="OLE_LINK2"/>
            <w:r>
              <w:rPr>
                <w:rFonts w:hint="eastAsia" w:ascii="宋体" w:hAnsi="宋体"/>
                <w:b/>
                <w:bCs/>
                <w:lang w:val="en-US" w:eastAsia="zh-CN"/>
              </w:rPr>
              <w:t>请问</w:t>
            </w:r>
            <w:bookmarkStart w:id="1" w:name="OLE_LINK1"/>
            <w:r>
              <w:rPr>
                <w:rFonts w:hint="eastAsia" w:ascii="宋体" w:hAnsi="宋体"/>
                <w:b/>
                <w:bCs/>
                <w:lang w:val="en-US" w:eastAsia="zh-CN"/>
              </w:rPr>
              <w:t>成都文化大数据有限公司</w:t>
            </w:r>
            <w:bookmarkEnd w:id="1"/>
            <w:r>
              <w:rPr>
                <w:rFonts w:hint="eastAsia" w:ascii="宋体" w:hAnsi="宋体"/>
                <w:b/>
                <w:bCs/>
                <w:lang w:val="en-US" w:eastAsia="zh-CN"/>
              </w:rPr>
              <w:t>，上市公司参与过组建，占多少股份？</w:t>
            </w:r>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根据公开可查询的工商信息显示，成都文化大数据有限公司由成都传媒产业集团全资控股，上市公司仅参与该公司前期协助筹建工作，未进行出资，也不持有该公司股份。谢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提问12：</w:t>
            </w:r>
            <w:bookmarkStart w:id="2" w:name="OLE_LINK3"/>
            <w:r>
              <w:rPr>
                <w:rFonts w:hint="eastAsia" w:ascii="宋体" w:hAnsi="宋体"/>
                <w:b/>
                <w:bCs/>
                <w:lang w:val="en-US" w:eastAsia="zh-CN"/>
              </w:rPr>
              <w:t>请介绍下成都非遗博览园盈利模式，2025年营收多少？有在开展非遗实物玩物类销售吗？公司有计划收购大股东文旅类资产吗？如东郊记忆。</w:t>
            </w:r>
            <w:bookmarkEnd w:id="2"/>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成都非遗博览园的运营主体为成都西锦时光文化传播有限公司，该公司2025年度营业总收入已在本公司2025年度报告第三节“管理层讨论与分析”项下的“主要控股参股公司分析”中列明，为1193万元。成都西锦时光文化传播有限公司仅负责园区运营，未直接开展园区内业态经营，目前园区内已有部分商家开展非遗IP实物相关经营业务。截至目前，公司暂无收购大股东文旅类资产的计划。谢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提问13：请问上市公司有计划将小贷相关的业务置换出吗？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目前公司持续聚焦主营业务发展，夯实数字新经济业务盈利能力，持续优化资源配置。若后续公司开展相关事项，将严格按照法律法规要求履行审议程序及信息披露义务，届时请以公司官方披露的公告内容为准。谢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lang w:val="en-US" w:eastAsia="zh-CN"/>
              </w:rPr>
            </w:pPr>
            <w:r>
              <w:rPr>
                <w:rFonts w:hint="eastAsia" w:ascii="宋体" w:hAnsi="宋体"/>
                <w:b/>
                <w:bCs/>
                <w:lang w:val="en-US" w:eastAsia="zh-CN"/>
              </w:rPr>
              <w:t>提问14：请介绍下2025年游戏出海海外收入及增长率。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r>
              <w:rPr>
                <w:rFonts w:hint="eastAsia" w:ascii="宋体" w:hAnsi="宋体"/>
                <w:lang w:val="en-US" w:eastAsia="zh-CN"/>
              </w:rPr>
              <w:t>答：尊敬的投资者您好。2025年全球游戏出海市场竞争持续加剧，在公司优势布局的SLG与卡牌赛道中，头部产品格局固化，新产品实现市场突围的难度显著提升，公司海外业务收入承压。下一步，公司将侧重运营质量提升与长期收益积累，通过精细化活动策划与社群运营稳固核心用户群体，严控营销成本，保障业务发展的韧性。继续围绕优势题材，稳步推进产品迭代与区域市场渗透，在巩固日韩及东南亚现有市场份额的基础上，探索更多元的题材与玩法，为业务中长期发展积蓄动能。谢谢您的关注，祝您投资愉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573" w:type="dxa"/>
            <w:shd w:val="clear" w:color="auto" w:fill="auto"/>
            <w:vAlign w:val="center"/>
          </w:tcPr>
          <w:p>
            <w:pPr>
              <w:spacing w:line="520" w:lineRule="exact"/>
              <w:jc w:val="center"/>
              <w:rPr>
                <w:rFonts w:hint="default" w:ascii="宋体" w:hAnsi="宋体" w:eastAsia="宋体"/>
                <w:b/>
                <w:bCs/>
                <w:iCs/>
                <w:szCs w:val="21"/>
                <w:lang w:val="en-US" w:eastAsia="zh-CN"/>
              </w:rPr>
            </w:pPr>
            <w:r>
              <w:rPr>
                <w:rFonts w:hint="eastAsia" w:ascii="宋体" w:hAnsi="宋体"/>
                <w:b/>
                <w:bCs/>
                <w:iCs/>
                <w:szCs w:val="21"/>
                <w:lang w:val="en-US" w:eastAsia="zh-CN"/>
              </w:rPr>
              <w:t>附件清单（如有）</w:t>
            </w:r>
          </w:p>
        </w:tc>
        <w:tc>
          <w:tcPr>
            <w:tcW w:w="7579" w:type="dxa"/>
            <w:shd w:val="clear" w:color="auto" w:fill="auto"/>
          </w:tcPr>
          <w:p>
            <w:pPr>
              <w:spacing w:line="520" w:lineRule="exact"/>
              <w:ind w:right="840"/>
              <w:jc w:val="center"/>
              <w:rPr>
                <w:rFonts w:ascii="宋体" w:hAnsi="宋体"/>
                <w:bCs/>
                <w:iCs/>
                <w:szCs w:val="21"/>
              </w:rPr>
            </w:pPr>
            <w:r>
              <w:rPr>
                <w:rFonts w:hint="eastAsia" w:ascii="宋体" w:hAnsi="宋体"/>
                <w:bCs/>
                <w:iCs/>
                <w:szCs w:val="21"/>
                <w:lang w:val="en-US" w:eastAsia="zh-CN"/>
              </w:rPr>
              <w:t>无</w:t>
            </w:r>
            <w:r>
              <w:rPr>
                <w:rFonts w:ascii="宋体" w:hAnsi="宋体"/>
                <w:bCs/>
                <w:iCs/>
                <w:szCs w:val="21"/>
              </w:rPr>
              <w:t xml:space="preserve">      </w:t>
            </w:r>
          </w:p>
        </w:tc>
      </w:tr>
    </w:tbl>
    <w:p>
      <w:pPr>
        <w:snapToGrid w:val="0"/>
        <w:spacing w:line="500" w:lineRule="exact"/>
        <w:ind w:right="700" w:firstLine="560" w:firstLineChars="200"/>
        <w:jc w:val="left"/>
        <w:rPr>
          <w:rFonts w:hAnsi="宋体"/>
          <w:sz w:val="28"/>
          <w:szCs w:val="28"/>
        </w:rPr>
      </w:pPr>
    </w:p>
    <w:p/>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jc w:val="center"/>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ascii="方正仿宋_GB2312" w:eastAsia="方正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66BA4"/>
    <w:rsid w:val="0CAB71AB"/>
    <w:rsid w:val="0F2D7FC5"/>
    <w:rsid w:val="2AE7031E"/>
    <w:rsid w:val="2D4D71BF"/>
    <w:rsid w:val="2EB4633C"/>
    <w:rsid w:val="3F700DF7"/>
    <w:rsid w:val="41DA3538"/>
    <w:rsid w:val="45D20F17"/>
    <w:rsid w:val="517910AB"/>
    <w:rsid w:val="585E4852"/>
    <w:rsid w:val="59322682"/>
    <w:rsid w:val="59DE3400"/>
    <w:rsid w:val="5C7402B9"/>
    <w:rsid w:val="65C238BA"/>
    <w:rsid w:val="663733D8"/>
    <w:rsid w:val="75A86C16"/>
    <w:rsid w:val="77B9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1556</Words>
  <Characters>1625</Characters>
  <Lines>0</Lines>
  <Paragraphs>0</Paragraphs>
  <TotalTime>25</TotalTime>
  <ScaleCrop>false</ScaleCrop>
  <LinksUpToDate>false</LinksUpToDate>
  <CharactersWithSpaces>1785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2026-05-12T05:44:00Z</dcterms:created>
  <dc:creator>赵成伟</dc:creator>
  <cp:lastModifiedBy>飞天猪</cp:lastModifiedBy>
  <dcterms:modified xsi:type="dcterms:W3CDTF">2026-05-21T09:51:59Z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eyJoZGlkIjoiMjkzOGJjZDM1NDI1ODljMjE1ODBmM2UxYWE0NzVmYTEiLCJ1c2VySWQiOiI1MzU0NjcxMTkifQ==</vt:lpwstr>
  </property>
  <property fmtid="{D5CDD505-2E9C-101B-9397-08002B2CF9AE}" pid="4" name="ICV">
    <vt:lpwstr>72F3426ADDE94726B7F1CFC8D8C0CAB7</vt:lpwstr>
  </property>
</Properties>
</file>