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441F" w:rsidRDefault="00594DB9">
      <w:pPr>
        <w:adjustRightInd w:val="0"/>
        <w:snapToGrid w:val="0"/>
        <w:spacing w:beforeLines="100" w:before="312"/>
        <w:ind w:right="-61" w:firstLine="539"/>
        <w:jc w:val="center"/>
        <w:rPr>
          <w:rFonts w:ascii="华文新魏" w:eastAsia="华文新魏" w:hAnsi="宋体"/>
          <w:b/>
          <w:spacing w:val="6"/>
          <w:sz w:val="44"/>
          <w:szCs w:val="44"/>
        </w:rPr>
      </w:pPr>
      <w:r>
        <w:rPr>
          <w:rFonts w:ascii="华文新魏" w:eastAsia="华文新魏" w:hAnsi="宋体" w:hint="eastAsia"/>
          <w:b/>
          <w:spacing w:val="6"/>
          <w:sz w:val="44"/>
          <w:szCs w:val="44"/>
        </w:rPr>
        <w:t>宝鸡钛业</w:t>
      </w:r>
      <w:r>
        <w:rPr>
          <w:rFonts w:ascii="华文新魏" w:eastAsia="华文新魏" w:hAnsi="宋体"/>
          <w:b/>
          <w:spacing w:val="6"/>
          <w:sz w:val="44"/>
          <w:szCs w:val="44"/>
        </w:rPr>
        <w:t>股份有限公司</w:t>
      </w:r>
    </w:p>
    <w:p w:rsidR="0059441F" w:rsidRDefault="00594DB9">
      <w:pPr>
        <w:adjustRightInd w:val="0"/>
        <w:snapToGrid w:val="0"/>
        <w:ind w:right="-62"/>
        <w:jc w:val="center"/>
        <w:rPr>
          <w:rFonts w:ascii="华文新魏" w:eastAsia="华文新魏" w:hAnsi="宋体"/>
          <w:b/>
          <w:spacing w:val="-6"/>
          <w:sz w:val="44"/>
          <w:szCs w:val="44"/>
        </w:rPr>
      </w:pPr>
      <w:r>
        <w:rPr>
          <w:rFonts w:ascii="华文新魏" w:eastAsia="华文新魏" w:hAnsi="宋体" w:hint="eastAsia"/>
          <w:b/>
          <w:spacing w:val="-6"/>
          <w:sz w:val="44"/>
          <w:szCs w:val="44"/>
        </w:rPr>
        <w:t>关于参加“</w:t>
      </w:r>
      <w:r w:rsidR="00EC6BE3" w:rsidRPr="00EC6BE3">
        <w:rPr>
          <w:rFonts w:ascii="华文新魏" w:eastAsia="华文新魏" w:hAnsi="宋体" w:hint="eastAsia"/>
          <w:b/>
          <w:spacing w:val="-6"/>
          <w:sz w:val="44"/>
          <w:szCs w:val="44"/>
        </w:rPr>
        <w:t>2026年陕西辖区上市公司投资者集体接待日暨2025年度业绩说明会</w:t>
      </w:r>
      <w:r>
        <w:rPr>
          <w:rFonts w:ascii="华文新魏" w:eastAsia="华文新魏" w:hAnsi="宋体" w:hint="eastAsia"/>
          <w:b/>
          <w:spacing w:val="-6"/>
          <w:sz w:val="44"/>
          <w:szCs w:val="44"/>
        </w:rPr>
        <w:t>”的召开情况纪要</w:t>
      </w:r>
    </w:p>
    <w:p w:rsidR="0059441F" w:rsidRDefault="0059441F">
      <w:pPr>
        <w:adjustRightInd w:val="0"/>
        <w:snapToGrid w:val="0"/>
        <w:spacing w:afterLines="100" w:after="312"/>
        <w:ind w:right="-61"/>
        <w:jc w:val="center"/>
        <w:rPr>
          <w:rFonts w:ascii="华文新魏" w:eastAsia="华文新魏" w:hAnsi="宋体"/>
          <w:b/>
          <w:spacing w:val="-6"/>
          <w:sz w:val="44"/>
          <w:szCs w:val="44"/>
        </w:rPr>
      </w:pPr>
      <w:bookmarkStart w:id="0" w:name="OLE_LINK1"/>
      <w:bookmarkStart w:id="1" w:name="OLE_LINK2"/>
      <w:bookmarkStart w:id="2" w:name="OLE_LINK3"/>
    </w:p>
    <w:bookmarkEnd w:id="0"/>
    <w:bookmarkEnd w:id="1"/>
    <w:bookmarkEnd w:id="2"/>
    <w:p w:rsidR="0059441F" w:rsidRDefault="00594DB9">
      <w:pPr>
        <w:pStyle w:val="content"/>
        <w:adjustRightInd w:val="0"/>
        <w:snapToGrid w:val="0"/>
        <w:spacing w:beforeLines="50" w:before="156" w:beforeAutospacing="0" w:after="0" w:afterAutospacing="0" w:line="520" w:lineRule="exact"/>
        <w:ind w:right="-61" w:firstLineChars="200" w:firstLine="500"/>
        <w:rPr>
          <w:sz w:val="24"/>
          <w:szCs w:val="24"/>
        </w:rPr>
      </w:pPr>
      <w:r>
        <w:t>一、本次业绩说明会召开情况</w:t>
      </w:r>
    </w:p>
    <w:p w:rsidR="0059441F" w:rsidRPr="007726C5" w:rsidRDefault="00594DB9">
      <w:pPr>
        <w:pStyle w:val="content"/>
        <w:suppressAutoHyphens/>
        <w:wordWrap w:val="0"/>
        <w:adjustRightInd w:val="0"/>
        <w:snapToGrid w:val="0"/>
        <w:spacing w:beforeLines="50" w:before="156" w:beforeAutospacing="0" w:after="0" w:afterAutospacing="0" w:line="520" w:lineRule="exact"/>
        <w:ind w:rightChars="-75" w:right="-158" w:firstLineChars="200" w:firstLine="480"/>
        <w:rPr>
          <w:rFonts w:hint="eastAsia"/>
          <w:sz w:val="24"/>
          <w:szCs w:val="24"/>
        </w:rPr>
      </w:pPr>
      <w:r>
        <w:rPr>
          <w:sz w:val="24"/>
          <w:szCs w:val="24"/>
        </w:rPr>
        <w:t>202</w:t>
      </w:r>
      <w:r w:rsidR="00EC6BE3">
        <w:rPr>
          <w:sz w:val="24"/>
          <w:szCs w:val="24"/>
        </w:rPr>
        <w:t>6</w:t>
      </w:r>
      <w:r>
        <w:rPr>
          <w:sz w:val="24"/>
          <w:szCs w:val="24"/>
        </w:rPr>
        <w:t>年5月</w:t>
      </w:r>
      <w:r>
        <w:rPr>
          <w:rFonts w:hint="eastAsia"/>
          <w:sz w:val="24"/>
          <w:szCs w:val="24"/>
        </w:rPr>
        <w:t>13</w:t>
      </w:r>
      <w:r>
        <w:rPr>
          <w:sz w:val="24"/>
          <w:szCs w:val="24"/>
        </w:rPr>
        <w:t>日，公司在上海证券交易所网站（www.sse.com.cn）及指定信息披露媒体披露了《</w:t>
      </w:r>
      <w:r>
        <w:rPr>
          <w:rFonts w:hint="eastAsia"/>
          <w:sz w:val="24"/>
          <w:szCs w:val="24"/>
        </w:rPr>
        <w:t>宝鸡钛业股份有限公司关于参加“</w:t>
      </w:r>
      <w:r w:rsidR="00EC6BE3" w:rsidRPr="00EC6BE3">
        <w:rPr>
          <w:rFonts w:hint="eastAsia"/>
          <w:sz w:val="24"/>
          <w:szCs w:val="24"/>
        </w:rPr>
        <w:t>2026年陕西辖区上市公司投资者集体接待日暨2025年度业绩说明会</w:t>
      </w:r>
      <w:r>
        <w:rPr>
          <w:rFonts w:hint="eastAsia"/>
          <w:sz w:val="24"/>
          <w:szCs w:val="24"/>
        </w:rPr>
        <w:t>”</w:t>
      </w:r>
      <w:r>
        <w:rPr>
          <w:sz w:val="24"/>
          <w:szCs w:val="24"/>
        </w:rPr>
        <w:t>的公告》。202</w:t>
      </w:r>
      <w:r w:rsidR="00B839F8">
        <w:rPr>
          <w:sz w:val="24"/>
          <w:szCs w:val="24"/>
        </w:rPr>
        <w:t>6</w:t>
      </w:r>
      <w:r>
        <w:rPr>
          <w:sz w:val="24"/>
          <w:szCs w:val="24"/>
        </w:rPr>
        <w:t>年5月</w:t>
      </w:r>
      <w:r w:rsidR="0080748E">
        <w:rPr>
          <w:sz w:val="24"/>
          <w:szCs w:val="24"/>
        </w:rPr>
        <w:t>20</w:t>
      </w:r>
      <w:r>
        <w:rPr>
          <w:sz w:val="24"/>
          <w:szCs w:val="24"/>
        </w:rPr>
        <w:t>日下午15:00-17:00，公司</w:t>
      </w:r>
      <w:r>
        <w:rPr>
          <w:rFonts w:hint="eastAsia"/>
          <w:sz w:val="24"/>
          <w:szCs w:val="24"/>
        </w:rPr>
        <w:t>在“全景路演”（http</w:t>
      </w:r>
      <w:r w:rsidR="00F024B0">
        <w:rPr>
          <w:rFonts w:hint="eastAsia"/>
          <w:sz w:val="24"/>
          <w:szCs w:val="24"/>
        </w:rPr>
        <w:t>s</w:t>
      </w:r>
      <w:r>
        <w:rPr>
          <w:rFonts w:hint="eastAsia"/>
          <w:sz w:val="24"/>
          <w:szCs w:val="24"/>
        </w:rPr>
        <w:t>://rs.p5w.net）</w:t>
      </w:r>
      <w:r>
        <w:rPr>
          <w:sz w:val="24"/>
          <w:szCs w:val="24"/>
        </w:rPr>
        <w:t>通过网络平台在线交流的方式召开了公司202</w:t>
      </w:r>
      <w:r w:rsidR="00EC6BE3">
        <w:rPr>
          <w:sz w:val="24"/>
          <w:szCs w:val="24"/>
        </w:rPr>
        <w:t>5</w:t>
      </w:r>
      <w:r>
        <w:rPr>
          <w:sz w:val="24"/>
          <w:szCs w:val="24"/>
        </w:rPr>
        <w:t>年度业绩说明会</w:t>
      </w:r>
      <w:r>
        <w:rPr>
          <w:rFonts w:hint="eastAsia"/>
          <w:sz w:val="24"/>
          <w:szCs w:val="24"/>
        </w:rPr>
        <w:t>，</w:t>
      </w:r>
      <w:r>
        <w:rPr>
          <w:sz w:val="24"/>
          <w:szCs w:val="24"/>
        </w:rPr>
        <w:t>与投资者就公司经营业绩等问题进行交流和沟通，在信息披露允许的范围内就投资者</w:t>
      </w:r>
      <w:r>
        <w:rPr>
          <w:rFonts w:hint="eastAsia"/>
          <w:sz w:val="24"/>
          <w:szCs w:val="24"/>
        </w:rPr>
        <w:t>提出</w:t>
      </w:r>
      <w:r>
        <w:rPr>
          <w:sz w:val="24"/>
          <w:szCs w:val="24"/>
        </w:rPr>
        <w:t>的问题进行了回复。</w:t>
      </w:r>
    </w:p>
    <w:p w:rsidR="0059441F" w:rsidRDefault="00594DB9">
      <w:pPr>
        <w:pStyle w:val="content"/>
        <w:adjustRightInd w:val="0"/>
        <w:snapToGrid w:val="0"/>
        <w:spacing w:beforeLines="50" w:before="156" w:beforeAutospacing="0" w:after="0" w:afterAutospacing="0" w:line="520" w:lineRule="exact"/>
        <w:ind w:right="-61" w:firstLineChars="200" w:firstLine="480"/>
        <w:rPr>
          <w:sz w:val="24"/>
          <w:szCs w:val="24"/>
        </w:rPr>
      </w:pPr>
      <w:r>
        <w:rPr>
          <w:sz w:val="24"/>
          <w:szCs w:val="24"/>
        </w:rPr>
        <w:t>二、投资者提出的主要问题及公司回复情况</w:t>
      </w:r>
    </w:p>
    <w:p w:rsidR="0059441F" w:rsidRDefault="00594DB9">
      <w:pPr>
        <w:pStyle w:val="content"/>
        <w:adjustRightInd w:val="0"/>
        <w:snapToGrid w:val="0"/>
        <w:spacing w:beforeLines="50" w:before="156" w:beforeAutospacing="0" w:after="0" w:afterAutospacing="0" w:line="520" w:lineRule="exact"/>
        <w:ind w:right="-61" w:firstLineChars="200" w:firstLine="480"/>
        <w:rPr>
          <w:sz w:val="24"/>
          <w:szCs w:val="24"/>
        </w:rPr>
      </w:pPr>
      <w:r>
        <w:rPr>
          <w:sz w:val="24"/>
          <w:szCs w:val="24"/>
        </w:rPr>
        <w:t>本次业绩说明会中投资者提出的主要问题及回复整理如下</w:t>
      </w:r>
      <w:r>
        <w:rPr>
          <w:rFonts w:hint="eastAsia"/>
          <w:sz w:val="24"/>
          <w:szCs w:val="24"/>
        </w:rPr>
        <w:t>：</w:t>
      </w:r>
    </w:p>
    <w:p w:rsidR="0059441F" w:rsidRDefault="00594DB9">
      <w:pPr>
        <w:pStyle w:val="Style6"/>
        <w:spacing w:line="520" w:lineRule="exact"/>
        <w:ind w:firstLine="482"/>
        <w:rPr>
          <w:rFonts w:ascii="宋体" w:hAnsi="宋体"/>
          <w:b/>
          <w:bCs/>
          <w:kern w:val="0"/>
          <w:sz w:val="24"/>
          <w:szCs w:val="24"/>
        </w:rPr>
      </w:pPr>
      <w:r>
        <w:rPr>
          <w:rFonts w:ascii="宋体" w:hAnsi="宋体"/>
          <w:b/>
          <w:bCs/>
          <w:kern w:val="0"/>
          <w:sz w:val="24"/>
          <w:szCs w:val="24"/>
        </w:rPr>
        <w:t>1、</w:t>
      </w:r>
      <w:r w:rsidR="00EC6BE3" w:rsidRPr="00EC6BE3">
        <w:rPr>
          <w:rFonts w:ascii="宋体" w:hAnsi="宋体" w:hint="eastAsia"/>
          <w:b/>
          <w:bCs/>
          <w:kern w:val="0"/>
          <w:sz w:val="24"/>
          <w:szCs w:val="24"/>
        </w:rPr>
        <w:t>能否说明一下公司股利分配的一般政策？今年有比较好的利润分配吗？</w:t>
      </w:r>
    </w:p>
    <w:p w:rsidR="0059441F" w:rsidRDefault="00594DB9">
      <w:pPr>
        <w:pStyle w:val="Style6"/>
        <w:spacing w:line="520" w:lineRule="exact"/>
        <w:ind w:firstLine="480"/>
        <w:rPr>
          <w:rFonts w:ascii="宋体" w:hAnsi="宋体"/>
          <w:kern w:val="0"/>
          <w:sz w:val="24"/>
          <w:szCs w:val="24"/>
        </w:rPr>
      </w:pPr>
      <w:r>
        <w:rPr>
          <w:sz w:val="24"/>
          <w:szCs w:val="24"/>
        </w:rPr>
        <w:t>公司回复：</w:t>
      </w:r>
      <w:r w:rsidR="00EC6BE3" w:rsidRPr="00EC6BE3">
        <w:rPr>
          <w:rFonts w:ascii="宋体" w:hAnsi="宋体" w:hint="eastAsia"/>
          <w:kern w:val="0"/>
          <w:sz w:val="24"/>
          <w:szCs w:val="24"/>
        </w:rPr>
        <w:t>《公司章程》明确规定了公司采取现金、股票或者现金与股票相结合的方式分配股利，现金分红方式优先于股票股利方式，且公司在满足正常生产经营的资金需求情况下，最近三年以现金方式累计分配的利润不少于最近三年实现的年均可分配利润的30%。公司2025年度利润分配方案为：公司拟向全体股东每股派发现金红利0.3元（含税）。截至2025年12月31日，公司总股本477,777,539股，以此计算合计拟派发现金红利143,333,261.70元（含税），剩余利润结转下一年度。本年度</w:t>
      </w:r>
      <w:proofErr w:type="gramStart"/>
      <w:r w:rsidR="00EC6BE3" w:rsidRPr="00EC6BE3">
        <w:rPr>
          <w:rFonts w:ascii="宋体" w:hAnsi="宋体" w:hint="eastAsia"/>
          <w:kern w:val="0"/>
          <w:sz w:val="24"/>
          <w:szCs w:val="24"/>
        </w:rPr>
        <w:t>不</w:t>
      </w:r>
      <w:proofErr w:type="gramEnd"/>
      <w:r w:rsidR="00EC6BE3" w:rsidRPr="00EC6BE3">
        <w:rPr>
          <w:rFonts w:ascii="宋体" w:hAnsi="宋体" w:hint="eastAsia"/>
          <w:kern w:val="0"/>
          <w:sz w:val="24"/>
          <w:szCs w:val="24"/>
        </w:rPr>
        <w:t>送股，也不以资本公积金转增股本。如在实施权益分派股权登记日前</w:t>
      </w:r>
      <w:bookmarkStart w:id="3" w:name="_GoBack"/>
      <w:bookmarkEnd w:id="3"/>
      <w:r w:rsidR="00EC6BE3" w:rsidRPr="00EC6BE3">
        <w:rPr>
          <w:rFonts w:ascii="宋体" w:hAnsi="宋体" w:hint="eastAsia"/>
          <w:kern w:val="0"/>
          <w:sz w:val="24"/>
          <w:szCs w:val="24"/>
        </w:rPr>
        <w:t>，公司总股本发生变动，</w:t>
      </w:r>
      <w:proofErr w:type="gramStart"/>
      <w:r w:rsidR="00EC6BE3" w:rsidRPr="00EC6BE3">
        <w:rPr>
          <w:rFonts w:ascii="宋体" w:hAnsi="宋体" w:hint="eastAsia"/>
          <w:kern w:val="0"/>
          <w:sz w:val="24"/>
          <w:szCs w:val="24"/>
        </w:rPr>
        <w:t>拟维持</w:t>
      </w:r>
      <w:proofErr w:type="gramEnd"/>
      <w:r w:rsidR="00EC6BE3" w:rsidRPr="00EC6BE3">
        <w:rPr>
          <w:rFonts w:ascii="宋体" w:hAnsi="宋体" w:hint="eastAsia"/>
          <w:kern w:val="0"/>
          <w:sz w:val="24"/>
          <w:szCs w:val="24"/>
        </w:rPr>
        <w:t>分配总额不变，相应调整每</w:t>
      </w:r>
      <w:proofErr w:type="gramStart"/>
      <w:r w:rsidR="00EC6BE3" w:rsidRPr="00EC6BE3">
        <w:rPr>
          <w:rFonts w:ascii="宋体" w:hAnsi="宋体" w:hint="eastAsia"/>
          <w:kern w:val="0"/>
          <w:sz w:val="24"/>
          <w:szCs w:val="24"/>
        </w:rPr>
        <w:t>股</w:t>
      </w:r>
      <w:proofErr w:type="gramEnd"/>
      <w:r w:rsidR="00EC6BE3" w:rsidRPr="00EC6BE3">
        <w:rPr>
          <w:rFonts w:ascii="宋体" w:hAnsi="宋体" w:hint="eastAsia"/>
          <w:kern w:val="0"/>
          <w:sz w:val="24"/>
          <w:szCs w:val="24"/>
        </w:rPr>
        <w:t>分配比例。</w:t>
      </w:r>
    </w:p>
    <w:p w:rsidR="0059441F" w:rsidRDefault="00594DB9">
      <w:pPr>
        <w:pStyle w:val="Style6"/>
        <w:spacing w:line="520" w:lineRule="exact"/>
        <w:ind w:firstLine="482"/>
        <w:rPr>
          <w:rFonts w:ascii="宋体" w:hAnsi="宋体"/>
          <w:b/>
          <w:bCs/>
          <w:kern w:val="0"/>
          <w:sz w:val="24"/>
          <w:szCs w:val="24"/>
        </w:rPr>
      </w:pPr>
      <w:r>
        <w:rPr>
          <w:rFonts w:ascii="宋体" w:hAnsi="宋体" w:hint="eastAsia"/>
          <w:b/>
          <w:bCs/>
          <w:kern w:val="0"/>
          <w:sz w:val="24"/>
          <w:szCs w:val="24"/>
        </w:rPr>
        <w:lastRenderedPageBreak/>
        <w:t>2</w:t>
      </w:r>
      <w:r>
        <w:rPr>
          <w:rFonts w:ascii="宋体" w:hAnsi="宋体"/>
          <w:b/>
          <w:bCs/>
          <w:kern w:val="0"/>
          <w:sz w:val="24"/>
          <w:szCs w:val="24"/>
        </w:rPr>
        <w:t>、</w:t>
      </w:r>
      <w:r w:rsidR="00EC6BE3" w:rsidRPr="00EC6BE3">
        <w:rPr>
          <w:rFonts w:ascii="宋体" w:hAnsi="宋体" w:hint="eastAsia"/>
          <w:b/>
          <w:bCs/>
          <w:kern w:val="0"/>
          <w:sz w:val="24"/>
          <w:szCs w:val="24"/>
        </w:rPr>
        <w:t>公司的市值管理计划有吗？</w:t>
      </w:r>
    </w:p>
    <w:p w:rsidR="0059441F" w:rsidRDefault="00594DB9">
      <w:pPr>
        <w:pStyle w:val="Style6"/>
        <w:spacing w:line="520" w:lineRule="exact"/>
        <w:ind w:firstLine="480"/>
        <w:rPr>
          <w:rFonts w:ascii="宋体" w:hAnsi="宋体"/>
          <w:kern w:val="0"/>
          <w:sz w:val="24"/>
          <w:szCs w:val="24"/>
        </w:rPr>
      </w:pPr>
      <w:r>
        <w:rPr>
          <w:sz w:val="24"/>
          <w:szCs w:val="24"/>
        </w:rPr>
        <w:t>公司回复：</w:t>
      </w:r>
      <w:r w:rsidR="00EC6BE3" w:rsidRPr="00EC6BE3">
        <w:rPr>
          <w:rFonts w:ascii="宋体" w:hAnsi="宋体" w:hint="eastAsia"/>
          <w:kern w:val="0"/>
          <w:sz w:val="24"/>
          <w:szCs w:val="24"/>
        </w:rPr>
        <w:t>公司一直以来高度重视和强化价值创造，持续专注并深入主业提升核心竞争力，全方位做大做强主业，夯实公司治理基础，提升规范运作水平，做好信息合</w:t>
      </w:r>
      <w:proofErr w:type="gramStart"/>
      <w:r w:rsidR="00EC6BE3" w:rsidRPr="00EC6BE3">
        <w:rPr>
          <w:rFonts w:ascii="宋体" w:hAnsi="宋体" w:hint="eastAsia"/>
          <w:kern w:val="0"/>
          <w:sz w:val="24"/>
          <w:szCs w:val="24"/>
        </w:rPr>
        <w:t>规</w:t>
      </w:r>
      <w:proofErr w:type="gramEnd"/>
      <w:r w:rsidR="00EC6BE3" w:rsidRPr="00EC6BE3">
        <w:rPr>
          <w:rFonts w:ascii="宋体" w:hAnsi="宋体" w:hint="eastAsia"/>
          <w:kern w:val="0"/>
          <w:sz w:val="24"/>
          <w:szCs w:val="24"/>
        </w:rPr>
        <w:t>披露，推动企业价值稳步提升及股东回报，公司2023年、2024年、2025年现金分红金额占相应年度归属于上市公司股东的净利润的比率分别为 30.73%、32.32%、35.75%。</w:t>
      </w:r>
    </w:p>
    <w:p w:rsidR="0059441F" w:rsidRDefault="00594DB9">
      <w:pPr>
        <w:pStyle w:val="Style6"/>
        <w:spacing w:line="520" w:lineRule="exact"/>
        <w:ind w:firstLine="482"/>
        <w:rPr>
          <w:rFonts w:ascii="宋体" w:hAnsi="宋体"/>
          <w:b/>
          <w:bCs/>
          <w:kern w:val="0"/>
          <w:sz w:val="24"/>
          <w:szCs w:val="24"/>
        </w:rPr>
      </w:pPr>
      <w:r>
        <w:rPr>
          <w:rFonts w:ascii="宋体" w:hAnsi="宋体" w:hint="eastAsia"/>
          <w:b/>
          <w:bCs/>
          <w:kern w:val="0"/>
          <w:sz w:val="24"/>
          <w:szCs w:val="24"/>
        </w:rPr>
        <w:t>3</w:t>
      </w:r>
      <w:r>
        <w:rPr>
          <w:rFonts w:ascii="宋体" w:hAnsi="宋体"/>
          <w:b/>
          <w:bCs/>
          <w:kern w:val="0"/>
          <w:sz w:val="24"/>
          <w:szCs w:val="24"/>
        </w:rPr>
        <w:t>、</w:t>
      </w:r>
      <w:r w:rsidR="006A6D4A">
        <w:rPr>
          <w:rFonts w:ascii="宋体" w:hAnsi="宋体" w:hint="eastAsia"/>
          <w:b/>
          <w:bCs/>
          <w:kern w:val="0"/>
          <w:sz w:val="24"/>
          <w:szCs w:val="24"/>
        </w:rPr>
        <w:t>公司可转债</w:t>
      </w:r>
      <w:r w:rsidR="006A6D4A" w:rsidRPr="006A6D4A">
        <w:rPr>
          <w:rFonts w:ascii="宋体" w:hAnsi="宋体" w:hint="eastAsia"/>
          <w:b/>
          <w:bCs/>
          <w:kern w:val="0"/>
          <w:sz w:val="24"/>
          <w:szCs w:val="24"/>
        </w:rPr>
        <w:t>事宜的时间表</w:t>
      </w:r>
      <w:r w:rsidR="00EC6BE3" w:rsidRPr="00EC6BE3">
        <w:rPr>
          <w:rFonts w:ascii="宋体" w:hAnsi="宋体" w:hint="eastAsia"/>
          <w:b/>
          <w:bCs/>
          <w:kern w:val="0"/>
          <w:sz w:val="24"/>
          <w:szCs w:val="24"/>
        </w:rPr>
        <w:t>？</w:t>
      </w:r>
    </w:p>
    <w:p w:rsidR="0059441F" w:rsidRDefault="006A6D4A">
      <w:pPr>
        <w:pStyle w:val="Style6"/>
        <w:spacing w:line="520" w:lineRule="exact"/>
        <w:ind w:firstLine="480"/>
        <w:rPr>
          <w:rFonts w:ascii="宋体" w:hAnsi="宋体"/>
          <w:kern w:val="0"/>
          <w:sz w:val="24"/>
          <w:szCs w:val="24"/>
        </w:rPr>
      </w:pPr>
      <w:r w:rsidRPr="006A6D4A">
        <w:rPr>
          <w:rFonts w:hint="eastAsia"/>
          <w:sz w:val="24"/>
          <w:szCs w:val="24"/>
        </w:rPr>
        <w:t>公司向不特定对象发行可转换公司债</w:t>
      </w:r>
      <w:proofErr w:type="gramStart"/>
      <w:r w:rsidRPr="006A6D4A">
        <w:rPr>
          <w:rFonts w:hint="eastAsia"/>
          <w:sz w:val="24"/>
          <w:szCs w:val="24"/>
        </w:rPr>
        <w:t>券</w:t>
      </w:r>
      <w:proofErr w:type="gramEnd"/>
      <w:r w:rsidRPr="006A6D4A">
        <w:rPr>
          <w:rFonts w:hint="eastAsia"/>
          <w:sz w:val="24"/>
          <w:szCs w:val="24"/>
        </w:rPr>
        <w:t>申请已获得中国证监会同意注册的批复，本次可转债发行工作按照计划正常进行中，</w:t>
      </w:r>
      <w:proofErr w:type="gramStart"/>
      <w:r w:rsidRPr="006A6D4A">
        <w:rPr>
          <w:rFonts w:hint="eastAsia"/>
          <w:sz w:val="24"/>
          <w:szCs w:val="24"/>
        </w:rPr>
        <w:t>请持</w:t>
      </w:r>
      <w:proofErr w:type="gramEnd"/>
      <w:r w:rsidRPr="006A6D4A">
        <w:rPr>
          <w:rFonts w:hint="eastAsia"/>
          <w:sz w:val="24"/>
          <w:szCs w:val="24"/>
        </w:rPr>
        <w:t>续关注公司公告。</w:t>
      </w:r>
    </w:p>
    <w:p w:rsidR="0059441F" w:rsidRDefault="0059441F">
      <w:pPr>
        <w:pStyle w:val="Style6"/>
        <w:spacing w:line="520" w:lineRule="exact"/>
        <w:ind w:firstLine="480"/>
        <w:rPr>
          <w:rFonts w:ascii="宋体" w:hAnsi="宋体"/>
          <w:kern w:val="0"/>
          <w:sz w:val="24"/>
          <w:szCs w:val="24"/>
        </w:rPr>
      </w:pPr>
    </w:p>
    <w:p w:rsidR="0059441F" w:rsidRDefault="0059441F">
      <w:pPr>
        <w:pStyle w:val="Style6"/>
        <w:spacing w:line="520" w:lineRule="exact"/>
        <w:ind w:firstLine="480"/>
        <w:rPr>
          <w:rFonts w:ascii="宋体" w:hAnsi="宋体"/>
          <w:kern w:val="0"/>
          <w:sz w:val="24"/>
          <w:szCs w:val="24"/>
        </w:rPr>
      </w:pPr>
    </w:p>
    <w:p w:rsidR="0059441F" w:rsidRDefault="0059441F">
      <w:pPr>
        <w:pStyle w:val="Style6"/>
        <w:spacing w:line="520" w:lineRule="exact"/>
        <w:ind w:firstLine="480"/>
        <w:rPr>
          <w:rFonts w:ascii="宋体" w:hAnsi="宋体"/>
          <w:kern w:val="0"/>
          <w:sz w:val="24"/>
          <w:szCs w:val="24"/>
        </w:rPr>
      </w:pPr>
    </w:p>
    <w:p w:rsidR="0059441F" w:rsidRDefault="0059441F">
      <w:pPr>
        <w:pStyle w:val="Style6"/>
        <w:spacing w:line="520" w:lineRule="exact"/>
        <w:ind w:firstLine="480"/>
        <w:rPr>
          <w:rFonts w:ascii="宋体" w:hAnsi="宋体"/>
          <w:kern w:val="0"/>
          <w:sz w:val="24"/>
          <w:szCs w:val="24"/>
        </w:rPr>
      </w:pPr>
    </w:p>
    <w:p w:rsidR="0059441F" w:rsidRDefault="0059441F">
      <w:pPr>
        <w:pStyle w:val="Style6"/>
        <w:spacing w:line="520" w:lineRule="exact"/>
        <w:ind w:firstLine="480"/>
        <w:rPr>
          <w:rFonts w:ascii="宋体" w:hAnsi="宋体"/>
          <w:kern w:val="0"/>
          <w:sz w:val="24"/>
          <w:szCs w:val="24"/>
        </w:rPr>
      </w:pPr>
    </w:p>
    <w:p w:rsidR="0059441F" w:rsidRDefault="00594DB9">
      <w:pPr>
        <w:pStyle w:val="Style6"/>
        <w:spacing w:line="520" w:lineRule="exact"/>
        <w:ind w:firstLine="480"/>
        <w:jc w:val="right"/>
        <w:rPr>
          <w:rFonts w:ascii="宋体" w:hAnsi="宋体"/>
          <w:kern w:val="0"/>
          <w:sz w:val="24"/>
          <w:szCs w:val="24"/>
        </w:rPr>
      </w:pPr>
      <w:r>
        <w:rPr>
          <w:rFonts w:ascii="宋体" w:hAnsi="宋体" w:hint="eastAsia"/>
          <w:kern w:val="0"/>
          <w:sz w:val="24"/>
          <w:szCs w:val="24"/>
        </w:rPr>
        <w:t>宝鸡钛业</w:t>
      </w:r>
      <w:r>
        <w:rPr>
          <w:rFonts w:ascii="宋体" w:hAnsi="宋体"/>
          <w:kern w:val="0"/>
          <w:sz w:val="24"/>
          <w:szCs w:val="24"/>
        </w:rPr>
        <w:t>股份有限公司</w:t>
      </w:r>
    </w:p>
    <w:p w:rsidR="00594DB9" w:rsidRDefault="00594DB9">
      <w:pPr>
        <w:pStyle w:val="Style6"/>
        <w:spacing w:line="520" w:lineRule="exact"/>
        <w:ind w:firstLine="480"/>
        <w:jc w:val="center"/>
        <w:rPr>
          <w:rFonts w:ascii="宋体" w:hAnsi="宋体"/>
          <w:kern w:val="0"/>
          <w:sz w:val="24"/>
          <w:szCs w:val="24"/>
        </w:rPr>
      </w:pPr>
      <w:r>
        <w:rPr>
          <w:rFonts w:ascii="宋体" w:hAnsi="宋体" w:hint="eastAsia"/>
          <w:kern w:val="0"/>
          <w:sz w:val="24"/>
          <w:szCs w:val="24"/>
        </w:rPr>
        <w:t xml:space="preserve">                                             </w:t>
      </w:r>
      <w:r>
        <w:rPr>
          <w:rFonts w:ascii="宋体" w:hAnsi="宋体"/>
          <w:kern w:val="0"/>
          <w:sz w:val="24"/>
          <w:szCs w:val="24"/>
        </w:rPr>
        <w:t>202</w:t>
      </w:r>
      <w:r w:rsidR="00B3288A">
        <w:rPr>
          <w:rFonts w:ascii="宋体" w:hAnsi="宋体"/>
          <w:kern w:val="0"/>
          <w:sz w:val="24"/>
          <w:szCs w:val="24"/>
        </w:rPr>
        <w:t>6</w:t>
      </w:r>
      <w:r>
        <w:rPr>
          <w:rFonts w:ascii="宋体" w:hAnsi="宋体"/>
          <w:kern w:val="0"/>
          <w:sz w:val="24"/>
          <w:szCs w:val="24"/>
        </w:rPr>
        <w:t>年</w:t>
      </w:r>
      <w:r>
        <w:rPr>
          <w:rFonts w:ascii="宋体" w:hAnsi="宋体" w:hint="eastAsia"/>
          <w:kern w:val="0"/>
          <w:sz w:val="24"/>
          <w:szCs w:val="24"/>
        </w:rPr>
        <w:t>5</w:t>
      </w:r>
      <w:r>
        <w:rPr>
          <w:rFonts w:ascii="宋体" w:hAnsi="宋体"/>
          <w:kern w:val="0"/>
          <w:sz w:val="24"/>
          <w:szCs w:val="24"/>
        </w:rPr>
        <w:t>月</w:t>
      </w:r>
      <w:r>
        <w:rPr>
          <w:rFonts w:ascii="宋体" w:hAnsi="宋体" w:hint="eastAsia"/>
          <w:kern w:val="0"/>
          <w:sz w:val="24"/>
          <w:szCs w:val="24"/>
        </w:rPr>
        <w:t>2</w:t>
      </w:r>
      <w:r w:rsidR="006A6D4A">
        <w:rPr>
          <w:rFonts w:ascii="宋体" w:hAnsi="宋体"/>
          <w:kern w:val="0"/>
          <w:sz w:val="24"/>
          <w:szCs w:val="24"/>
        </w:rPr>
        <w:t>2</w:t>
      </w:r>
      <w:r>
        <w:rPr>
          <w:rFonts w:ascii="宋体" w:hAnsi="宋体"/>
          <w:kern w:val="0"/>
          <w:sz w:val="24"/>
          <w:szCs w:val="24"/>
        </w:rPr>
        <w:t>日</w:t>
      </w:r>
    </w:p>
    <w:sectPr w:rsidR="00594DB9">
      <w:headerReference w:type="default" r:id="rId7"/>
      <w:footerReference w:type="even" r:id="rId8"/>
      <w:footerReference w:type="default" r:id="rId9"/>
      <w:pgSz w:w="11906" w:h="16838"/>
      <w:pgMar w:top="1440" w:right="1800" w:bottom="1440" w:left="1800" w:header="851" w:footer="89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3B42" w:rsidRDefault="006E3B42">
      <w:r>
        <w:separator/>
      </w:r>
    </w:p>
  </w:endnote>
  <w:endnote w:type="continuationSeparator" w:id="0">
    <w:p w:rsidR="006E3B42" w:rsidRDefault="006E3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441F" w:rsidRDefault="00594DB9">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59441F" w:rsidRDefault="0059441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441F" w:rsidRDefault="00594DB9">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rPr>
      <w:t>1</w:t>
    </w:r>
    <w:r>
      <w:rPr>
        <w:rStyle w:val="ac"/>
      </w:rPr>
      <w:fldChar w:fldCharType="end"/>
    </w:r>
  </w:p>
  <w:p w:rsidR="0059441F" w:rsidRDefault="0059441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3B42" w:rsidRDefault="006E3B42">
      <w:r>
        <w:separator/>
      </w:r>
    </w:p>
  </w:footnote>
  <w:footnote w:type="continuationSeparator" w:id="0">
    <w:p w:rsidR="006E3B42" w:rsidRDefault="006E3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441F" w:rsidRDefault="0059441F">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D0067"/>
    <w:multiLevelType w:val="singleLevel"/>
    <w:tmpl w:val="127D0067"/>
    <w:lvl w:ilvl="0">
      <w:start w:val="1"/>
      <w:numFmt w:val="bullet"/>
      <w:pStyle w:val="CharCharCharChar"/>
      <w:lvlText w:val=""/>
      <w:lvlJc w:val="left"/>
      <w:pPr>
        <w:tabs>
          <w:tab w:val="num" w:pos="420"/>
        </w:tabs>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mY5MGIyYjk4OGY3ZjExZWNlMjIzOWQxZjUzZWU3NDkifQ=="/>
  </w:docVars>
  <w:rsids>
    <w:rsidRoot w:val="00410FCF"/>
    <w:rsid w:val="0000286F"/>
    <w:rsid w:val="00011B2B"/>
    <w:rsid w:val="0001660A"/>
    <w:rsid w:val="00016C98"/>
    <w:rsid w:val="0002184C"/>
    <w:rsid w:val="00024DC2"/>
    <w:rsid w:val="000276E9"/>
    <w:rsid w:val="00032368"/>
    <w:rsid w:val="00045410"/>
    <w:rsid w:val="00057A85"/>
    <w:rsid w:val="00057C40"/>
    <w:rsid w:val="00063685"/>
    <w:rsid w:val="00064B47"/>
    <w:rsid w:val="00082277"/>
    <w:rsid w:val="0008475D"/>
    <w:rsid w:val="00097134"/>
    <w:rsid w:val="00097FCE"/>
    <w:rsid w:val="000A1D20"/>
    <w:rsid w:val="000A3A2B"/>
    <w:rsid w:val="000B3124"/>
    <w:rsid w:val="000B3D08"/>
    <w:rsid w:val="000B43C3"/>
    <w:rsid w:val="000B6822"/>
    <w:rsid w:val="000C0690"/>
    <w:rsid w:val="000D1DEE"/>
    <w:rsid w:val="000E2A02"/>
    <w:rsid w:val="000E5947"/>
    <w:rsid w:val="000F2057"/>
    <w:rsid w:val="000F26F3"/>
    <w:rsid w:val="0010699D"/>
    <w:rsid w:val="00113C0B"/>
    <w:rsid w:val="00125F20"/>
    <w:rsid w:val="00142FAF"/>
    <w:rsid w:val="001442D9"/>
    <w:rsid w:val="00145098"/>
    <w:rsid w:val="00146D39"/>
    <w:rsid w:val="0014737D"/>
    <w:rsid w:val="00150D71"/>
    <w:rsid w:val="001644D7"/>
    <w:rsid w:val="00172A66"/>
    <w:rsid w:val="0017700A"/>
    <w:rsid w:val="001778C9"/>
    <w:rsid w:val="00183677"/>
    <w:rsid w:val="00190901"/>
    <w:rsid w:val="0019473F"/>
    <w:rsid w:val="00196152"/>
    <w:rsid w:val="00197111"/>
    <w:rsid w:val="001A489A"/>
    <w:rsid w:val="001B2571"/>
    <w:rsid w:val="001B3EE6"/>
    <w:rsid w:val="001C544C"/>
    <w:rsid w:val="001D3D82"/>
    <w:rsid w:val="001D6F16"/>
    <w:rsid w:val="001D7AD0"/>
    <w:rsid w:val="001F7588"/>
    <w:rsid w:val="00203D34"/>
    <w:rsid w:val="00207852"/>
    <w:rsid w:val="00215F4D"/>
    <w:rsid w:val="00224934"/>
    <w:rsid w:val="00225DC7"/>
    <w:rsid w:val="0022789B"/>
    <w:rsid w:val="0024157D"/>
    <w:rsid w:val="00241A3E"/>
    <w:rsid w:val="002427F4"/>
    <w:rsid w:val="00250110"/>
    <w:rsid w:val="00250A5D"/>
    <w:rsid w:val="00251F5D"/>
    <w:rsid w:val="0025269F"/>
    <w:rsid w:val="002634E0"/>
    <w:rsid w:val="00270306"/>
    <w:rsid w:val="00280712"/>
    <w:rsid w:val="00283A21"/>
    <w:rsid w:val="00285988"/>
    <w:rsid w:val="002A13E6"/>
    <w:rsid w:val="002A3427"/>
    <w:rsid w:val="002B1815"/>
    <w:rsid w:val="002B5EA5"/>
    <w:rsid w:val="002C2E54"/>
    <w:rsid w:val="002C6BC9"/>
    <w:rsid w:val="002C6CF5"/>
    <w:rsid w:val="002E0F0A"/>
    <w:rsid w:val="002F6263"/>
    <w:rsid w:val="0031408F"/>
    <w:rsid w:val="0032262A"/>
    <w:rsid w:val="0032644E"/>
    <w:rsid w:val="00345183"/>
    <w:rsid w:val="00351019"/>
    <w:rsid w:val="00362D32"/>
    <w:rsid w:val="00363BF9"/>
    <w:rsid w:val="00395407"/>
    <w:rsid w:val="003A2049"/>
    <w:rsid w:val="003E139E"/>
    <w:rsid w:val="003E2E36"/>
    <w:rsid w:val="003E4092"/>
    <w:rsid w:val="003E4146"/>
    <w:rsid w:val="003E5E8D"/>
    <w:rsid w:val="003F3BA4"/>
    <w:rsid w:val="003F4EB7"/>
    <w:rsid w:val="00401C64"/>
    <w:rsid w:val="00401EEB"/>
    <w:rsid w:val="004028E6"/>
    <w:rsid w:val="00410FCF"/>
    <w:rsid w:val="004171EE"/>
    <w:rsid w:val="0041763D"/>
    <w:rsid w:val="00420517"/>
    <w:rsid w:val="00422F7D"/>
    <w:rsid w:val="00425FD3"/>
    <w:rsid w:val="00442ABB"/>
    <w:rsid w:val="00446173"/>
    <w:rsid w:val="004500D9"/>
    <w:rsid w:val="0045220C"/>
    <w:rsid w:val="00456CB8"/>
    <w:rsid w:val="004673F6"/>
    <w:rsid w:val="00472314"/>
    <w:rsid w:val="00482116"/>
    <w:rsid w:val="00483DC0"/>
    <w:rsid w:val="004A268B"/>
    <w:rsid w:val="004A3E7A"/>
    <w:rsid w:val="004A5711"/>
    <w:rsid w:val="004B73C9"/>
    <w:rsid w:val="004C4A54"/>
    <w:rsid w:val="004C52F5"/>
    <w:rsid w:val="004D1414"/>
    <w:rsid w:val="004D2DB8"/>
    <w:rsid w:val="004D35C0"/>
    <w:rsid w:val="004E538D"/>
    <w:rsid w:val="004F450C"/>
    <w:rsid w:val="005041CA"/>
    <w:rsid w:val="00505459"/>
    <w:rsid w:val="0050726C"/>
    <w:rsid w:val="0050770E"/>
    <w:rsid w:val="00520F72"/>
    <w:rsid w:val="00523EE3"/>
    <w:rsid w:val="0052532E"/>
    <w:rsid w:val="00525946"/>
    <w:rsid w:val="00530B22"/>
    <w:rsid w:val="00535BD7"/>
    <w:rsid w:val="00540C22"/>
    <w:rsid w:val="00557CF8"/>
    <w:rsid w:val="005718D1"/>
    <w:rsid w:val="005802F6"/>
    <w:rsid w:val="0058073F"/>
    <w:rsid w:val="00592B57"/>
    <w:rsid w:val="005935CA"/>
    <w:rsid w:val="005943C6"/>
    <w:rsid w:val="0059441F"/>
    <w:rsid w:val="00594DB9"/>
    <w:rsid w:val="005953D6"/>
    <w:rsid w:val="00597539"/>
    <w:rsid w:val="005A044C"/>
    <w:rsid w:val="005A34CF"/>
    <w:rsid w:val="005A6BA7"/>
    <w:rsid w:val="005B366D"/>
    <w:rsid w:val="005B6E70"/>
    <w:rsid w:val="005E3613"/>
    <w:rsid w:val="005E7962"/>
    <w:rsid w:val="005F0222"/>
    <w:rsid w:val="005F57C4"/>
    <w:rsid w:val="00607B59"/>
    <w:rsid w:val="0061325D"/>
    <w:rsid w:val="006142E7"/>
    <w:rsid w:val="00614DF1"/>
    <w:rsid w:val="00617B1F"/>
    <w:rsid w:val="006268BB"/>
    <w:rsid w:val="00627702"/>
    <w:rsid w:val="00627DC7"/>
    <w:rsid w:val="00633CEB"/>
    <w:rsid w:val="006342F8"/>
    <w:rsid w:val="00636C34"/>
    <w:rsid w:val="00642B58"/>
    <w:rsid w:val="006503DB"/>
    <w:rsid w:val="0065694F"/>
    <w:rsid w:val="00681DE4"/>
    <w:rsid w:val="00685675"/>
    <w:rsid w:val="00687BC7"/>
    <w:rsid w:val="00690345"/>
    <w:rsid w:val="00692FFF"/>
    <w:rsid w:val="006A1E2A"/>
    <w:rsid w:val="006A6D4A"/>
    <w:rsid w:val="006B5601"/>
    <w:rsid w:val="006D5E08"/>
    <w:rsid w:val="006D79C6"/>
    <w:rsid w:val="006E3636"/>
    <w:rsid w:val="006E3B42"/>
    <w:rsid w:val="006E67CD"/>
    <w:rsid w:val="006F1B1B"/>
    <w:rsid w:val="006F4640"/>
    <w:rsid w:val="006F4B10"/>
    <w:rsid w:val="00700A65"/>
    <w:rsid w:val="00702970"/>
    <w:rsid w:val="00736841"/>
    <w:rsid w:val="0074502E"/>
    <w:rsid w:val="00750989"/>
    <w:rsid w:val="00751660"/>
    <w:rsid w:val="00761664"/>
    <w:rsid w:val="0076400D"/>
    <w:rsid w:val="007703BF"/>
    <w:rsid w:val="00771B95"/>
    <w:rsid w:val="007726C5"/>
    <w:rsid w:val="0077644E"/>
    <w:rsid w:val="00782490"/>
    <w:rsid w:val="00787390"/>
    <w:rsid w:val="00791840"/>
    <w:rsid w:val="007B6072"/>
    <w:rsid w:val="007B798E"/>
    <w:rsid w:val="007C3104"/>
    <w:rsid w:val="007D0E5B"/>
    <w:rsid w:val="007D1F12"/>
    <w:rsid w:val="007D54BE"/>
    <w:rsid w:val="007E61D7"/>
    <w:rsid w:val="007F066D"/>
    <w:rsid w:val="007F0836"/>
    <w:rsid w:val="007F6B7F"/>
    <w:rsid w:val="00800DDD"/>
    <w:rsid w:val="0080258A"/>
    <w:rsid w:val="0080748E"/>
    <w:rsid w:val="00811A8E"/>
    <w:rsid w:val="00812B18"/>
    <w:rsid w:val="00813CA2"/>
    <w:rsid w:val="00813EAA"/>
    <w:rsid w:val="00814185"/>
    <w:rsid w:val="00816DAB"/>
    <w:rsid w:val="008307C9"/>
    <w:rsid w:val="00831D6C"/>
    <w:rsid w:val="0083779C"/>
    <w:rsid w:val="00841879"/>
    <w:rsid w:val="00850B20"/>
    <w:rsid w:val="008579AB"/>
    <w:rsid w:val="00857D9E"/>
    <w:rsid w:val="008614B4"/>
    <w:rsid w:val="008652BC"/>
    <w:rsid w:val="00874905"/>
    <w:rsid w:val="008764C2"/>
    <w:rsid w:val="008832B0"/>
    <w:rsid w:val="00883840"/>
    <w:rsid w:val="0088476E"/>
    <w:rsid w:val="00885381"/>
    <w:rsid w:val="008945F2"/>
    <w:rsid w:val="008A37C8"/>
    <w:rsid w:val="008A3CD2"/>
    <w:rsid w:val="008A6BEF"/>
    <w:rsid w:val="008A7DEB"/>
    <w:rsid w:val="008C199D"/>
    <w:rsid w:val="008D0C17"/>
    <w:rsid w:val="008D216D"/>
    <w:rsid w:val="008E770B"/>
    <w:rsid w:val="008F417A"/>
    <w:rsid w:val="008F4980"/>
    <w:rsid w:val="00905388"/>
    <w:rsid w:val="009141ED"/>
    <w:rsid w:val="00920055"/>
    <w:rsid w:val="00923C13"/>
    <w:rsid w:val="009276ED"/>
    <w:rsid w:val="00934C04"/>
    <w:rsid w:val="009452DF"/>
    <w:rsid w:val="00951123"/>
    <w:rsid w:val="009625C0"/>
    <w:rsid w:val="0096277F"/>
    <w:rsid w:val="00970882"/>
    <w:rsid w:val="00976F61"/>
    <w:rsid w:val="00977DFA"/>
    <w:rsid w:val="00983F98"/>
    <w:rsid w:val="009840E8"/>
    <w:rsid w:val="009849B1"/>
    <w:rsid w:val="009951C4"/>
    <w:rsid w:val="00995AE9"/>
    <w:rsid w:val="009A11D3"/>
    <w:rsid w:val="009A21D3"/>
    <w:rsid w:val="009A2EE8"/>
    <w:rsid w:val="009A39D1"/>
    <w:rsid w:val="009A71D1"/>
    <w:rsid w:val="009B0BDC"/>
    <w:rsid w:val="009B25DF"/>
    <w:rsid w:val="009B6156"/>
    <w:rsid w:val="009D1438"/>
    <w:rsid w:val="009D18EA"/>
    <w:rsid w:val="009D5F0A"/>
    <w:rsid w:val="009E4676"/>
    <w:rsid w:val="009E7F79"/>
    <w:rsid w:val="009F2741"/>
    <w:rsid w:val="009F33A5"/>
    <w:rsid w:val="009F3D9C"/>
    <w:rsid w:val="009F61A4"/>
    <w:rsid w:val="00A23914"/>
    <w:rsid w:val="00A26EEE"/>
    <w:rsid w:val="00A352FA"/>
    <w:rsid w:val="00A36158"/>
    <w:rsid w:val="00A40EA7"/>
    <w:rsid w:val="00A51808"/>
    <w:rsid w:val="00A51DF9"/>
    <w:rsid w:val="00A54046"/>
    <w:rsid w:val="00A55918"/>
    <w:rsid w:val="00A56007"/>
    <w:rsid w:val="00A63A9C"/>
    <w:rsid w:val="00A647E0"/>
    <w:rsid w:val="00A66799"/>
    <w:rsid w:val="00A72605"/>
    <w:rsid w:val="00A80100"/>
    <w:rsid w:val="00A812E1"/>
    <w:rsid w:val="00A92996"/>
    <w:rsid w:val="00AA6064"/>
    <w:rsid w:val="00AB0A05"/>
    <w:rsid w:val="00AB2327"/>
    <w:rsid w:val="00AB2B37"/>
    <w:rsid w:val="00AB3084"/>
    <w:rsid w:val="00AB44DF"/>
    <w:rsid w:val="00AC0CCB"/>
    <w:rsid w:val="00AC1C4D"/>
    <w:rsid w:val="00AD154B"/>
    <w:rsid w:val="00AD1C06"/>
    <w:rsid w:val="00AD2863"/>
    <w:rsid w:val="00AD2A12"/>
    <w:rsid w:val="00AF2DF8"/>
    <w:rsid w:val="00AF6A73"/>
    <w:rsid w:val="00AF747A"/>
    <w:rsid w:val="00B100E4"/>
    <w:rsid w:val="00B115F9"/>
    <w:rsid w:val="00B124B1"/>
    <w:rsid w:val="00B15615"/>
    <w:rsid w:val="00B17869"/>
    <w:rsid w:val="00B247A9"/>
    <w:rsid w:val="00B24CD3"/>
    <w:rsid w:val="00B31BAD"/>
    <w:rsid w:val="00B3288A"/>
    <w:rsid w:val="00B42368"/>
    <w:rsid w:val="00B55FF5"/>
    <w:rsid w:val="00B6355E"/>
    <w:rsid w:val="00B71969"/>
    <w:rsid w:val="00B74E3B"/>
    <w:rsid w:val="00B768F8"/>
    <w:rsid w:val="00B82390"/>
    <w:rsid w:val="00B8385D"/>
    <w:rsid w:val="00B839F8"/>
    <w:rsid w:val="00B84DB1"/>
    <w:rsid w:val="00BA3091"/>
    <w:rsid w:val="00BA45B8"/>
    <w:rsid w:val="00BA6154"/>
    <w:rsid w:val="00BA7192"/>
    <w:rsid w:val="00BB0E76"/>
    <w:rsid w:val="00BC400F"/>
    <w:rsid w:val="00BC50B1"/>
    <w:rsid w:val="00BD5372"/>
    <w:rsid w:val="00BE0C04"/>
    <w:rsid w:val="00BF2A97"/>
    <w:rsid w:val="00C02155"/>
    <w:rsid w:val="00C03599"/>
    <w:rsid w:val="00C11D68"/>
    <w:rsid w:val="00C25D27"/>
    <w:rsid w:val="00C4682F"/>
    <w:rsid w:val="00C5070E"/>
    <w:rsid w:val="00C5100C"/>
    <w:rsid w:val="00C51FB2"/>
    <w:rsid w:val="00C5318A"/>
    <w:rsid w:val="00C719C7"/>
    <w:rsid w:val="00C80FB8"/>
    <w:rsid w:val="00C825F9"/>
    <w:rsid w:val="00C8458C"/>
    <w:rsid w:val="00C8563E"/>
    <w:rsid w:val="00CA2F1D"/>
    <w:rsid w:val="00CB0D93"/>
    <w:rsid w:val="00CC2A5B"/>
    <w:rsid w:val="00CC614D"/>
    <w:rsid w:val="00CD0850"/>
    <w:rsid w:val="00CD1AF5"/>
    <w:rsid w:val="00CD6586"/>
    <w:rsid w:val="00CE242E"/>
    <w:rsid w:val="00CF0E0E"/>
    <w:rsid w:val="00D13AB1"/>
    <w:rsid w:val="00D17E7D"/>
    <w:rsid w:val="00D2126D"/>
    <w:rsid w:val="00D21AD8"/>
    <w:rsid w:val="00D25513"/>
    <w:rsid w:val="00D278E0"/>
    <w:rsid w:val="00D30485"/>
    <w:rsid w:val="00D378B8"/>
    <w:rsid w:val="00D564CD"/>
    <w:rsid w:val="00D66C01"/>
    <w:rsid w:val="00D70E14"/>
    <w:rsid w:val="00D7333B"/>
    <w:rsid w:val="00D916CB"/>
    <w:rsid w:val="00D967E4"/>
    <w:rsid w:val="00D9709E"/>
    <w:rsid w:val="00DB2CBF"/>
    <w:rsid w:val="00DC24E6"/>
    <w:rsid w:val="00DD1B9A"/>
    <w:rsid w:val="00DD59F9"/>
    <w:rsid w:val="00DE2A93"/>
    <w:rsid w:val="00DE42A9"/>
    <w:rsid w:val="00DF1892"/>
    <w:rsid w:val="00DF33B9"/>
    <w:rsid w:val="00DF3B8D"/>
    <w:rsid w:val="00DF5102"/>
    <w:rsid w:val="00E0351F"/>
    <w:rsid w:val="00E25CA2"/>
    <w:rsid w:val="00E27E74"/>
    <w:rsid w:val="00E72738"/>
    <w:rsid w:val="00E739ED"/>
    <w:rsid w:val="00E76C10"/>
    <w:rsid w:val="00E77029"/>
    <w:rsid w:val="00E80970"/>
    <w:rsid w:val="00E8677B"/>
    <w:rsid w:val="00E91F71"/>
    <w:rsid w:val="00E94592"/>
    <w:rsid w:val="00EA617A"/>
    <w:rsid w:val="00EB0A68"/>
    <w:rsid w:val="00EB3897"/>
    <w:rsid w:val="00EB6F84"/>
    <w:rsid w:val="00EC0C3D"/>
    <w:rsid w:val="00EC6BE3"/>
    <w:rsid w:val="00EC6C1C"/>
    <w:rsid w:val="00ED0361"/>
    <w:rsid w:val="00ED06DD"/>
    <w:rsid w:val="00ED0D68"/>
    <w:rsid w:val="00ED5087"/>
    <w:rsid w:val="00ED5FCA"/>
    <w:rsid w:val="00EE59A8"/>
    <w:rsid w:val="00EF1A8C"/>
    <w:rsid w:val="00EF4200"/>
    <w:rsid w:val="00F01A93"/>
    <w:rsid w:val="00F024B0"/>
    <w:rsid w:val="00F2003D"/>
    <w:rsid w:val="00F20CAC"/>
    <w:rsid w:val="00F22B06"/>
    <w:rsid w:val="00F22B9B"/>
    <w:rsid w:val="00F27283"/>
    <w:rsid w:val="00F27606"/>
    <w:rsid w:val="00F324F0"/>
    <w:rsid w:val="00F47399"/>
    <w:rsid w:val="00F60681"/>
    <w:rsid w:val="00F62B1A"/>
    <w:rsid w:val="00F642C1"/>
    <w:rsid w:val="00F70EA7"/>
    <w:rsid w:val="00F747E5"/>
    <w:rsid w:val="00F803EA"/>
    <w:rsid w:val="00F87762"/>
    <w:rsid w:val="00F917AC"/>
    <w:rsid w:val="00F947A2"/>
    <w:rsid w:val="00F94957"/>
    <w:rsid w:val="00FB1373"/>
    <w:rsid w:val="00FB18D7"/>
    <w:rsid w:val="00FB3B05"/>
    <w:rsid w:val="00FB46D6"/>
    <w:rsid w:val="00FB74C4"/>
    <w:rsid w:val="00FC31DF"/>
    <w:rsid w:val="00FD560A"/>
    <w:rsid w:val="00FE1CAF"/>
    <w:rsid w:val="00FE5EB1"/>
    <w:rsid w:val="00FF2297"/>
    <w:rsid w:val="00FF24D7"/>
    <w:rsid w:val="00FF66F0"/>
    <w:rsid w:val="13AE22FE"/>
    <w:rsid w:val="1C560269"/>
    <w:rsid w:val="3B600ADD"/>
    <w:rsid w:val="49F20DEC"/>
    <w:rsid w:val="566973A5"/>
    <w:rsid w:val="56D233A3"/>
    <w:rsid w:val="5BDF52CB"/>
    <w:rsid w:val="5DED5B64"/>
    <w:rsid w:val="6D3A46FD"/>
    <w:rsid w:val="79150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6DA35E"/>
  <w15:chartTrackingRefBased/>
  <w15:docId w15:val="{8EF18342-153D-4E34-BF74-081BD9E1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0"/>
    <w:qFormat/>
    <w:pPr>
      <w:keepNext/>
      <w:keepLines/>
      <w:spacing w:before="260" w:after="260" w:line="408"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Chars="200" w:firstLine="420"/>
    </w:pPr>
  </w:style>
  <w:style w:type="paragraph" w:styleId="a4">
    <w:name w:val="Body Text Indent"/>
    <w:basedOn w:val="a"/>
    <w:pPr>
      <w:pBdr>
        <w:top w:val="single" w:sz="4" w:space="1" w:color="auto"/>
        <w:left w:val="single" w:sz="4" w:space="4" w:color="auto"/>
        <w:bottom w:val="single" w:sz="4" w:space="1" w:color="auto"/>
        <w:right w:val="single" w:sz="4" w:space="4" w:color="auto"/>
      </w:pBdr>
      <w:adjustRightInd w:val="0"/>
      <w:snapToGrid w:val="0"/>
      <w:spacing w:line="520" w:lineRule="exact"/>
      <w:ind w:leftChars="171" w:left="359" w:firstLineChars="200" w:firstLine="560"/>
    </w:pPr>
    <w:rPr>
      <w:rFonts w:ascii="仿宋_GB2312" w:eastAsia="仿宋_GB2312" w:hAnsi="宋体"/>
      <w:color w:val="000000"/>
      <w:sz w:val="28"/>
    </w:rPr>
  </w:style>
  <w:style w:type="paragraph" w:styleId="a5">
    <w:name w:val="Plain Text"/>
    <w:basedOn w:val="a"/>
    <w:rPr>
      <w:rFonts w:ascii="宋体" w:hAnsi="Courier New"/>
      <w:szCs w:val="20"/>
    </w:rPr>
  </w:style>
  <w:style w:type="paragraph" w:styleId="a6">
    <w:name w:val="Date"/>
    <w:basedOn w:val="a"/>
    <w:next w:val="a"/>
    <w:pPr>
      <w:ind w:leftChars="2500" w:left="100"/>
    </w:pPr>
  </w:style>
  <w:style w:type="paragraph" w:styleId="a7">
    <w:name w:val="Balloon Text"/>
    <w:basedOn w:val="a"/>
    <w:semiHidden/>
    <w:rPr>
      <w:sz w:val="18"/>
      <w:szCs w:val="18"/>
    </w:rPr>
  </w:style>
  <w:style w:type="paragraph" w:styleId="a8">
    <w:name w:val="footer"/>
    <w:basedOn w:val="a"/>
    <w:pPr>
      <w:tabs>
        <w:tab w:val="center" w:pos="4153"/>
        <w:tab w:val="right" w:pos="8306"/>
      </w:tabs>
      <w:snapToGrid w:val="0"/>
      <w:jc w:val="left"/>
    </w:pPr>
    <w:rPr>
      <w:sz w:val="18"/>
      <w:szCs w:val="18"/>
    </w:rPr>
  </w:style>
  <w:style w:type="paragraph" w:styleId="a9">
    <w:name w:val="header"/>
    <w:basedOn w:val="a"/>
    <w:link w:val="aa"/>
    <w:pPr>
      <w:pBdr>
        <w:bottom w:val="single" w:sz="6" w:space="1" w:color="auto"/>
      </w:pBdr>
      <w:tabs>
        <w:tab w:val="center" w:pos="4153"/>
        <w:tab w:val="right" w:pos="8306"/>
      </w:tabs>
      <w:snapToGrid w:val="0"/>
      <w:jc w:val="center"/>
    </w:pPr>
    <w:rPr>
      <w:sz w:val="18"/>
      <w:szCs w:val="18"/>
    </w:rPr>
  </w:style>
  <w:style w:type="character" w:customStyle="1" w:styleId="aa">
    <w:name w:val="页眉 字符"/>
    <w:link w:val="a9"/>
    <w:rPr>
      <w:kern w:val="2"/>
      <w:sz w:val="18"/>
      <w:szCs w:val="18"/>
    </w:rPr>
  </w:style>
  <w:style w:type="paragraph" w:styleId="ab">
    <w:name w:val="Normal (Web)"/>
    <w:basedOn w:val="a"/>
    <w:pPr>
      <w:widowControl/>
      <w:spacing w:before="100" w:beforeAutospacing="1" w:after="100" w:afterAutospacing="1"/>
      <w:jc w:val="left"/>
    </w:pPr>
    <w:rPr>
      <w:rFonts w:ascii="宋体" w:hAnsi="宋体" w:cs="宋体"/>
      <w:kern w:val="0"/>
      <w:sz w:val="24"/>
    </w:rPr>
  </w:style>
  <w:style w:type="paragraph" w:customStyle="1" w:styleId="CharCharCharChar">
    <w:name w:val="Char Char Char Char"/>
    <w:basedOn w:val="a"/>
    <w:pPr>
      <w:numPr>
        <w:numId w:val="1"/>
      </w:numPr>
      <w:tabs>
        <w:tab w:val="left" w:pos="420"/>
      </w:tabs>
    </w:pPr>
    <w:rPr>
      <w:sz w:val="24"/>
    </w:rPr>
  </w:style>
  <w:style w:type="character" w:styleId="ac">
    <w:name w:val="page number"/>
    <w:basedOn w:val="a1"/>
  </w:style>
  <w:style w:type="character" w:styleId="ad">
    <w:name w:val="Hyperlink"/>
    <w:rPr>
      <w:color w:val="0000FF"/>
      <w:u w:val="single"/>
    </w:rPr>
  </w:style>
  <w:style w:type="paragraph" w:customStyle="1" w:styleId="content">
    <w:name w:val="content"/>
    <w:basedOn w:val="a"/>
    <w:pPr>
      <w:widowControl/>
      <w:spacing w:before="100" w:beforeAutospacing="1" w:after="100" w:afterAutospacing="1"/>
      <w:jc w:val="left"/>
    </w:pPr>
    <w:rPr>
      <w:rFonts w:ascii="宋体" w:hAnsi="宋体"/>
      <w:kern w:val="0"/>
      <w:sz w:val="25"/>
      <w:szCs w:val="25"/>
    </w:rPr>
  </w:style>
  <w:style w:type="paragraph" w:customStyle="1" w:styleId="Char1CharCharCharCharCharCharChar">
    <w:name w:val="Char1 Char Char Char Char Char Char Char"/>
    <w:basedOn w:val="a"/>
    <w:rPr>
      <w:rFonts w:ascii="Tahoma" w:hAnsi="Tahoma"/>
      <w:sz w:val="24"/>
      <w:szCs w:val="20"/>
    </w:rPr>
  </w:style>
  <w:style w:type="paragraph" w:customStyle="1" w:styleId="Char">
    <w:name w:val="Char"/>
    <w:basedOn w:val="a"/>
    <w:pPr>
      <w:tabs>
        <w:tab w:val="left" w:pos="420"/>
      </w:tabs>
      <w:ind w:left="420" w:hanging="420"/>
    </w:pPr>
    <w:rPr>
      <w:sz w:val="24"/>
    </w:rPr>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fontstyle01">
    <w:name w:val="fontstyle01"/>
    <w:rPr>
      <w:rFonts w:ascii="宋体" w:eastAsia="宋体" w:hAnsi="宋体" w:hint="eastAsia"/>
      <w:b w:val="0"/>
      <w:bCs w:val="0"/>
      <w:i w:val="0"/>
      <w:iCs w:val="0"/>
      <w:color w:val="000000"/>
      <w:sz w:val="24"/>
      <w:szCs w:val="24"/>
    </w:rPr>
  </w:style>
  <w:style w:type="paragraph" w:customStyle="1" w:styleId="Style6">
    <w:name w:val="_Style 6"/>
    <w:uiPriority w:val="34"/>
    <w:qFormat/>
    <w:pPr>
      <w:widowControl w:val="0"/>
      <w:ind w:firstLineChars="200" w:firstLine="42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153</Words>
  <Characters>873</Characters>
  <Application>Microsoft Office Word</Application>
  <DocSecurity>0</DocSecurity>
  <Lines>7</Lines>
  <Paragraphs>2</Paragraphs>
  <ScaleCrop>false</ScaleCrop>
  <Company>Microsoft</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宝钛股份2002股东大会决议公告</dc:title>
  <dc:subject/>
  <dc:creator>DSB</dc:creator>
  <cp:keywords/>
  <cp:lastModifiedBy>董事会办公室</cp:lastModifiedBy>
  <cp:revision>11</cp:revision>
  <cp:lastPrinted>2024-05-23T10:26:00Z</cp:lastPrinted>
  <dcterms:created xsi:type="dcterms:W3CDTF">2025-05-22T08:19:00Z</dcterms:created>
  <dcterms:modified xsi:type="dcterms:W3CDTF">2026-05-22T02:36:00Z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2A5ACC27A5714C00BD11A9032CE9087C_12</vt:lpwstr>
  </property>
</Properties>
</file>