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B064BF">
      <w:pPr>
        <w:spacing w:before="156" w:beforeLines="50" w:after="156" w:afterLines="50" w:line="400" w:lineRule="exact"/>
        <w:rPr>
          <w:rFonts w:hint="eastAsia"/>
          <w:bCs/>
          <w:iCs/>
          <w:color w:val="000000"/>
          <w:sz w:val="24"/>
        </w:rPr>
      </w:pPr>
      <w:r>
        <w:rPr>
          <w:rFonts w:hAnsi="宋体"/>
          <w:bCs/>
          <w:iCs/>
          <w:color w:val="000000"/>
          <w:sz w:val="24"/>
        </w:rPr>
        <w:t>证券代码：</w:t>
      </w:r>
      <w:r>
        <w:rPr>
          <w:color w:val="000000"/>
          <w:sz w:val="24"/>
        </w:rPr>
        <w:t xml:space="preserve">600365                </w:t>
      </w:r>
      <w:r>
        <w:rPr>
          <w:rFonts w:hint="eastAsia"/>
          <w:color w:val="000000"/>
          <w:sz w:val="24"/>
          <w:lang w:val="en-US" w:eastAsia="zh-CN"/>
        </w:rPr>
        <w:t xml:space="preserve">       </w:t>
      </w:r>
      <w:r>
        <w:rPr>
          <w:color w:val="000000"/>
          <w:sz w:val="24"/>
        </w:rPr>
        <w:t xml:space="preserve">             </w:t>
      </w:r>
      <w:r>
        <w:rPr>
          <w:rFonts w:hAnsi="宋体"/>
          <w:bCs/>
          <w:iCs/>
          <w:color w:val="000000"/>
          <w:sz w:val="24"/>
        </w:rPr>
        <w:t>证券简称：</w:t>
      </w:r>
      <w:r>
        <w:rPr>
          <w:color w:val="000000"/>
          <w:sz w:val="24"/>
        </w:rPr>
        <w:t>ST通葡</w:t>
      </w:r>
    </w:p>
    <w:p w14:paraId="6619D3A0">
      <w:pPr>
        <w:spacing w:before="156" w:beforeLines="50" w:after="156" w:afterLines="50" w:line="400" w:lineRule="exact"/>
        <w:jc w:val="center"/>
        <w:rPr>
          <w:rFonts w:hint="eastAsia" w:ascii="宋体" w:hAnsi="宋体"/>
          <w:b/>
          <w:bCs/>
          <w:iCs/>
          <w:color w:val="000000"/>
          <w:sz w:val="32"/>
          <w:szCs w:val="32"/>
        </w:rPr>
      </w:pPr>
      <w:r>
        <w:rPr>
          <w:rFonts w:hint="default" w:ascii="宋体" w:hAnsi="宋体"/>
          <w:b/>
          <w:bCs/>
          <w:iCs/>
          <w:color w:val="000000"/>
          <w:sz w:val="32"/>
          <w:szCs w:val="32"/>
        </w:rPr>
        <w:t>通化葡萄酒股份有限公司</w:t>
      </w:r>
      <w:r>
        <w:rPr>
          <w:rFonts w:hint="eastAsia" w:ascii="宋体" w:hAnsi="宋体"/>
          <w:b/>
          <w:bCs/>
          <w:iCs/>
          <w:color w:val="000000"/>
          <w:sz w:val="32"/>
          <w:szCs w:val="32"/>
        </w:rPr>
        <w:t>投资者关系活动记录表</w:t>
      </w:r>
    </w:p>
    <w:p w14:paraId="3A6E8659">
      <w:pPr>
        <w:spacing w:line="400" w:lineRule="exact"/>
        <w:rPr>
          <w:bCs/>
          <w:iCs/>
          <w:color w:val="000000"/>
          <w:sz w:val="24"/>
        </w:rPr>
      </w:pPr>
      <w:r>
        <w:rPr>
          <w:rFonts w:hint="eastAsia" w:ascii="宋体" w:hAnsi="宋体"/>
          <w:bCs/>
          <w:iCs/>
          <w:color w:val="000000"/>
          <w:sz w:val="24"/>
        </w:rPr>
        <w:t xml:space="preserve">                                                     </w:t>
      </w:r>
    </w:p>
    <w:tbl>
      <w:tblPr>
        <w:tblStyle w:val="5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6847"/>
      </w:tblGrid>
      <w:tr w14:paraId="61BA1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78D2E4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投资者关系活动类别</w:t>
            </w:r>
          </w:p>
          <w:p w14:paraId="6F1508E5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</w:p>
        </w:tc>
        <w:tc>
          <w:tcPr>
            <w:tcW w:w="6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4D36DD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Ansi="宋体"/>
                <w:kern w:val="0"/>
                <w:sz w:val="24"/>
              </w:rPr>
              <w:t>特定对象调研</w:t>
            </w:r>
            <w:r>
              <w:rPr>
                <w:kern w:val="0"/>
                <w:sz w:val="24"/>
              </w:rPr>
              <w:t xml:space="preserve">       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分析师会议</w:t>
            </w:r>
          </w:p>
          <w:p w14:paraId="0DDDCCBC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媒体采访</w:t>
            </w:r>
            <w:r>
              <w:rPr>
                <w:kern w:val="0"/>
                <w:sz w:val="24"/>
              </w:rPr>
              <w:t xml:space="preserve">            </w:t>
            </w:r>
            <w:r>
              <w:rPr>
                <w:bCs/>
                <w:iCs/>
                <w:color w:val="000000"/>
                <w:kern w:val="0"/>
                <w:sz w:val="24"/>
              </w:rPr>
              <w:t>√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业绩说明会</w:t>
            </w:r>
          </w:p>
          <w:p w14:paraId="0772160C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新闻发布会</w:t>
            </w:r>
            <w:r>
              <w:rPr>
                <w:kern w:val="0"/>
                <w:sz w:val="24"/>
              </w:rPr>
              <w:t xml:space="preserve">          </w:t>
            </w: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路演活动</w:t>
            </w:r>
          </w:p>
          <w:p w14:paraId="6DADDF28">
            <w:pPr>
              <w:tabs>
                <w:tab w:val="left" w:pos="3045"/>
                <w:tab w:val="center" w:pos="3199"/>
              </w:tabs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现场参观</w:t>
            </w:r>
            <w:r>
              <w:rPr>
                <w:bCs/>
                <w:iCs/>
                <w:color w:val="000000"/>
                <w:kern w:val="0"/>
                <w:sz w:val="24"/>
              </w:rPr>
              <w:tab/>
            </w:r>
          </w:p>
          <w:p w14:paraId="63F8B6CB">
            <w:pPr>
              <w:tabs>
                <w:tab w:val="center" w:pos="3199"/>
              </w:tabs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其他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（</w:t>
            </w:r>
            <w:r>
              <w:rPr>
                <w:rFonts w:hAnsi="宋体"/>
                <w:kern w:val="0"/>
                <w:sz w:val="24"/>
                <w:u w:val="single"/>
              </w:rPr>
              <w:t>请文字说明其他活动内容）</w:t>
            </w:r>
          </w:p>
        </w:tc>
      </w:tr>
      <w:tr w14:paraId="0B0CA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DD637F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int="eastAsia" w:hAnsi="宋体"/>
                <w:bCs/>
                <w:iCs/>
                <w:color w:val="000000"/>
                <w:kern w:val="0"/>
                <w:sz w:val="24"/>
              </w:rPr>
              <w:t>参与投资者及机构名称</w:t>
            </w:r>
          </w:p>
        </w:tc>
        <w:tc>
          <w:tcPr>
            <w:tcW w:w="6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A5E04C">
            <w:pPr>
              <w:spacing w:line="420" w:lineRule="exact"/>
              <w:rPr>
                <w:rFonts w:hint="eastAsia"/>
                <w:bCs/>
                <w:iCs/>
                <w:color w:val="000000"/>
                <w:sz w:val="24"/>
                <w:lang w:val="en-GB"/>
              </w:rPr>
            </w:pP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投资者网上提问</w:t>
            </w:r>
          </w:p>
        </w:tc>
      </w:tr>
      <w:tr w14:paraId="02DCC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A07825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6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7E7F65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</w:rPr>
              <w:t>2026年5月</w:t>
            </w:r>
            <w:r>
              <w:rPr>
                <w:rFonts w:hint="eastAsia"/>
                <w:bCs/>
                <w:iCs/>
                <w:color w:val="000000"/>
                <w:sz w:val="24"/>
                <w:lang w:val="en-US" w:eastAsia="zh-CN"/>
              </w:rPr>
              <w:t>22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日 (周</w:t>
            </w:r>
            <w:r>
              <w:rPr>
                <w:rFonts w:hint="eastAsia"/>
                <w:bCs/>
                <w:iCs/>
                <w:color w:val="000000"/>
                <w:sz w:val="24"/>
                <w:lang w:val="en-US" w:eastAsia="zh-CN"/>
              </w:rPr>
              <w:t>五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 xml:space="preserve">) </w:t>
            </w:r>
            <w:r>
              <w:rPr>
                <w:rFonts w:hint="eastAsia"/>
                <w:bCs/>
                <w:iCs/>
                <w:color w:val="000000"/>
                <w:sz w:val="24"/>
                <w:lang w:val="en-US" w:eastAsia="zh-CN"/>
              </w:rPr>
              <w:t>上午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 xml:space="preserve"> </w:t>
            </w:r>
            <w:r>
              <w:rPr>
                <w:rFonts w:hint="eastAsia"/>
                <w:bCs/>
                <w:iCs/>
                <w:color w:val="000000"/>
                <w:sz w:val="24"/>
                <w:lang w:val="en-US" w:eastAsia="zh-CN"/>
              </w:rPr>
              <w:t>09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:</w:t>
            </w:r>
            <w:r>
              <w:rPr>
                <w:rFonts w:hint="eastAsia"/>
                <w:bCs/>
                <w:iCs/>
                <w:color w:val="000000"/>
                <w:sz w:val="24"/>
                <w:lang w:val="en-US" w:eastAsia="zh-CN"/>
              </w:rPr>
              <w:t>0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0~</w:t>
            </w:r>
            <w:r>
              <w:rPr>
                <w:rFonts w:hint="eastAsia"/>
                <w:bCs/>
                <w:iCs/>
                <w:color w:val="000000"/>
                <w:sz w:val="24"/>
                <w:lang w:val="en-US" w:eastAsia="zh-CN"/>
              </w:rPr>
              <w:t>10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:</w:t>
            </w:r>
            <w:r>
              <w:rPr>
                <w:rFonts w:hint="eastAsia"/>
                <w:bCs/>
                <w:iCs/>
                <w:color w:val="000000"/>
                <w:sz w:val="24"/>
                <w:lang w:val="en-US" w:eastAsia="zh-CN"/>
              </w:rPr>
              <w:t>0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0</w:t>
            </w:r>
          </w:p>
        </w:tc>
      </w:tr>
      <w:tr w14:paraId="6D224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38A895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地点</w:t>
            </w:r>
          </w:p>
        </w:tc>
        <w:tc>
          <w:tcPr>
            <w:tcW w:w="6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129E7F">
            <w:pPr>
              <w:spacing w:line="42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上证路演中心 https://roadshow.sseinfo.com</w:t>
            </w:r>
          </w:p>
          <w:p w14:paraId="68F93CE6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网络文字互动</w:t>
            </w:r>
          </w:p>
        </w:tc>
      </w:tr>
      <w:tr w14:paraId="5D0B2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04AC35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int="eastAsia" w:hAnsi="宋体"/>
                <w:bCs/>
                <w:iCs/>
                <w:color w:val="000000"/>
                <w:kern w:val="0"/>
                <w:sz w:val="24"/>
              </w:rPr>
              <w:t>上市公司参与人员姓名</w:t>
            </w:r>
          </w:p>
        </w:tc>
        <w:tc>
          <w:tcPr>
            <w:tcW w:w="6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80915">
            <w:pPr>
              <w:spacing w:line="420" w:lineRule="exact"/>
              <w:rPr>
                <w:rFonts w:hint="default" w:ascii="宋体" w:hAnsi="宋体"/>
                <w:bCs/>
                <w:sz w:val="24"/>
              </w:rPr>
            </w:pPr>
            <w:r>
              <w:rPr>
                <w:rFonts w:hint="default" w:ascii="宋体" w:hAnsi="宋体"/>
                <w:bCs/>
                <w:sz w:val="24"/>
              </w:rPr>
              <w:t>董事长：吴玉华</w:t>
            </w:r>
          </w:p>
          <w:p w14:paraId="58B08D7F">
            <w:pPr>
              <w:spacing w:line="420" w:lineRule="exact"/>
              <w:rPr>
                <w:rFonts w:hint="default" w:ascii="宋体" w:hAnsi="宋体"/>
                <w:bCs/>
                <w:sz w:val="24"/>
              </w:rPr>
            </w:pPr>
            <w:r>
              <w:rPr>
                <w:rFonts w:hint="default" w:ascii="宋体" w:hAnsi="宋体"/>
                <w:bCs/>
                <w:sz w:val="24"/>
              </w:rPr>
              <w:t>副总经理兼董事会秘书：黄立凡</w:t>
            </w:r>
          </w:p>
          <w:p w14:paraId="04C8F339">
            <w:pPr>
              <w:spacing w:line="420" w:lineRule="exact"/>
              <w:rPr>
                <w:rFonts w:hint="default" w:ascii="宋体" w:hAnsi="宋体"/>
                <w:bCs/>
                <w:sz w:val="24"/>
              </w:rPr>
            </w:pPr>
            <w:r>
              <w:rPr>
                <w:rFonts w:hint="default" w:ascii="宋体" w:hAnsi="宋体"/>
                <w:bCs/>
                <w:sz w:val="24"/>
              </w:rPr>
              <w:t>财务总监：贾旭</w:t>
            </w:r>
          </w:p>
          <w:p w14:paraId="35871A3D">
            <w:pPr>
              <w:spacing w:line="420" w:lineRule="exact"/>
              <w:rPr>
                <w:rFonts w:hint="default" w:ascii="宋体" w:hAnsi="宋体"/>
                <w:bCs/>
                <w:sz w:val="24"/>
              </w:rPr>
            </w:pPr>
            <w:r>
              <w:rPr>
                <w:rFonts w:hint="default" w:ascii="宋体" w:hAnsi="宋体"/>
                <w:bCs/>
                <w:sz w:val="24"/>
              </w:rPr>
              <w:t>独立董事：魏良淑</w:t>
            </w:r>
          </w:p>
        </w:tc>
      </w:tr>
      <w:tr w14:paraId="1EA8F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EE07E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投资者关系活动主要内容介绍</w:t>
            </w:r>
          </w:p>
          <w:p w14:paraId="32BF3E18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</w:p>
        </w:tc>
        <w:tc>
          <w:tcPr>
            <w:tcW w:w="6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3B30CD">
            <w:pPr>
              <w:pStyle w:val="7"/>
              <w:spacing w:line="460" w:lineRule="exact"/>
              <w:ind w:left="-2" w:leftChars="-1" w:firstLine="480"/>
              <w:rPr>
                <w:rFonts w:hint="eastAsia" w:ascii="宋体" w:hAnsi="宋体" w:eastAsia="宋体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default" w:ascii="宋体" w:hAnsi="宋体"/>
                <w:b/>
                <w:bCs w:val="0"/>
                <w:sz w:val="24"/>
                <w:szCs w:val="24"/>
              </w:rPr>
              <w:t>1、公司最新股东人数</w:t>
            </w:r>
            <w:r>
              <w:rPr>
                <w:rFonts w:hint="eastAsia" w:ascii="宋体" w:hAnsi="宋体"/>
                <w:b/>
                <w:bCs w:val="0"/>
                <w:sz w:val="24"/>
                <w:szCs w:val="24"/>
                <w:lang w:eastAsia="zh-CN"/>
              </w:rPr>
              <w:t>？</w:t>
            </w:r>
          </w:p>
          <w:p w14:paraId="44FB0AD4">
            <w:pPr>
              <w:pStyle w:val="7"/>
              <w:spacing w:line="460" w:lineRule="exact"/>
              <w:ind w:left="-2" w:leftChars="-1" w:firstLine="480"/>
              <w:rPr>
                <w:rFonts w:hint="default"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default" w:ascii="宋体" w:hAnsi="宋体"/>
                <w:b w:val="0"/>
                <w:bCs/>
                <w:sz w:val="24"/>
                <w:szCs w:val="24"/>
              </w:rPr>
              <w:t>尊敬的投资者，感谢您对公司的关注！截至2026年3月31日，公司普通股股东总数为12,483。</w:t>
            </w:r>
          </w:p>
          <w:p w14:paraId="02FFAECA">
            <w:pPr>
              <w:pStyle w:val="7"/>
              <w:spacing w:line="460" w:lineRule="exact"/>
              <w:ind w:left="-2" w:leftChars="-1" w:firstLine="480"/>
              <w:rPr>
                <w:rFonts w:hint="default" w:ascii="宋体" w:hAnsi="宋体"/>
                <w:b/>
                <w:bCs w:val="0"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bCs w:val="0"/>
                <w:sz w:val="24"/>
                <w:szCs w:val="24"/>
              </w:rPr>
              <w:t>2、明年的行业情况怎么看，公司如何应对？</w:t>
            </w:r>
          </w:p>
          <w:p w14:paraId="3AF26AA4">
            <w:pPr>
              <w:pStyle w:val="7"/>
              <w:spacing w:line="460" w:lineRule="exact"/>
              <w:ind w:left="-2" w:leftChars="-1" w:firstLine="480"/>
              <w:rPr>
                <w:rFonts w:hint="default"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default" w:ascii="宋体" w:hAnsi="宋体"/>
                <w:b w:val="0"/>
                <w:bCs/>
                <w:sz w:val="24"/>
                <w:szCs w:val="24"/>
              </w:rPr>
              <w:t>尊敬的投资者，感谢您对公司的关注！我们认为葡萄酒和电商行业短期内存在一定波动，长期前景良好。葡萄酒业务：公司将继续通过深化产品创新与技术研发、强化品牌建设与全渠道布局、加速产品优势与电商渠道深度融合等措施，突破发展瓶颈、抵御市场风险，推动葡萄酒业务在产品竞争力、品牌影响力及市场渗透率等方面实现提升，葡萄酒业务发展基础得到夯实与加固。电子商务业务：公司确立电子商务业务高质量发展目标，继续通过聚焦电商零售赛道，持续优化产品品类矩阵、大力拓展多维度渠道业务，积极培育业务新动能、全面推进数字化转型升级，以技术赋能企业高效运营等措施，保障电子商务业务健康稳定的发展，推动公司在该板块的核心竞争力得到进一步夯实。</w:t>
            </w:r>
          </w:p>
          <w:p w14:paraId="4D2ABF31">
            <w:pPr>
              <w:pStyle w:val="7"/>
              <w:spacing w:line="460" w:lineRule="exact"/>
              <w:ind w:left="-2" w:leftChars="-1" w:firstLine="480"/>
              <w:rPr>
                <w:rFonts w:hint="default" w:ascii="宋体" w:hAnsi="宋体"/>
                <w:b/>
                <w:bCs w:val="0"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bCs w:val="0"/>
                <w:sz w:val="24"/>
                <w:szCs w:val="24"/>
              </w:rPr>
              <w:t>3、公司未来盈利增长的主要驱动因素有哪些？</w:t>
            </w:r>
          </w:p>
          <w:p w14:paraId="6A197ACA">
            <w:pPr>
              <w:pStyle w:val="7"/>
              <w:spacing w:line="460" w:lineRule="exact"/>
              <w:ind w:left="-2" w:leftChars="-1" w:firstLine="480"/>
              <w:rPr>
                <w:rFonts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b w:val="0"/>
                <w:bCs/>
                <w:sz w:val="24"/>
                <w:szCs w:val="24"/>
              </w:rPr>
              <w:t>尊敬的投资者，感谢您对公司的关注！公司未来业绩的驱动因素包括：继续夯实主业、人才培养、合规经营、产品创新与研发等。</w:t>
            </w:r>
          </w:p>
          <w:p w14:paraId="5114312A">
            <w:pPr>
              <w:adjustRightInd w:val="0"/>
              <w:snapToGrid w:val="0"/>
              <w:spacing w:line="500" w:lineRule="exact"/>
              <w:rPr>
                <w:rFonts w:ascii="宋体" w:hAnsi="宋体"/>
                <w:bCs/>
                <w:iCs/>
                <w:color w:val="000000"/>
                <w:sz w:val="24"/>
              </w:rPr>
            </w:pPr>
          </w:p>
        </w:tc>
      </w:tr>
      <w:tr w14:paraId="67100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89AE9">
            <w:pPr>
              <w:spacing w:line="420" w:lineRule="exact"/>
              <w:rPr>
                <w:rFonts w:hAnsi="宋体"/>
                <w:bCs/>
                <w:iCs/>
                <w:color w:val="000000"/>
                <w:kern w:val="0"/>
                <w:sz w:val="24"/>
              </w:rPr>
            </w:pPr>
            <w:r>
              <w:rPr>
                <w:rFonts w:hint="eastAsia" w:hAnsi="宋体"/>
                <w:bCs/>
                <w:iCs/>
                <w:color w:val="000000"/>
                <w:kern w:val="0"/>
                <w:sz w:val="24"/>
              </w:rPr>
              <w:t>关于本次活动是否涉及应当披露重大信息的说明</w:t>
            </w:r>
          </w:p>
        </w:tc>
        <w:tc>
          <w:tcPr>
            <w:tcW w:w="6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057A8F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</w:rPr>
              <w:t>本次活动，公司严格按照相关规定交流沟通，不存在未公开重大信息泄露等情形。</w:t>
            </w:r>
          </w:p>
        </w:tc>
      </w:tr>
      <w:tr w14:paraId="3FD24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7538A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附件清单（如有）</w:t>
            </w:r>
          </w:p>
        </w:tc>
        <w:tc>
          <w:tcPr>
            <w:tcW w:w="6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A6227A">
            <w:pPr>
              <w:spacing w:line="420" w:lineRule="exact"/>
              <w:rPr>
                <w:rFonts w:hint="eastAsia" w:eastAsia="宋体"/>
                <w:bCs/>
                <w:iCs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bCs/>
                <w:iCs/>
                <w:color w:val="000000"/>
                <w:sz w:val="24"/>
                <w:lang w:val="en-US" w:eastAsia="zh-CN"/>
              </w:rPr>
              <w:t>无</w:t>
            </w:r>
          </w:p>
        </w:tc>
      </w:tr>
      <w:tr w14:paraId="37286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13044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日期</w:t>
            </w:r>
          </w:p>
        </w:tc>
        <w:tc>
          <w:tcPr>
            <w:tcW w:w="6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94F4A4">
            <w:pPr>
              <w:spacing w:line="420" w:lineRule="exact"/>
              <w:rPr>
                <w:rFonts w:hint="eastAsia" w:eastAsia="宋体"/>
                <w:bCs/>
                <w:iCs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bCs/>
                <w:iCs/>
                <w:color w:val="000000"/>
                <w:sz w:val="24"/>
              </w:rPr>
              <w:t>2026-05-2</w:t>
            </w:r>
            <w:r>
              <w:rPr>
                <w:rFonts w:hint="eastAsia"/>
                <w:bCs/>
                <w:iCs/>
                <w:color w:val="000000"/>
                <w:sz w:val="24"/>
                <w:lang w:val="en-US" w:eastAsia="zh-CN"/>
              </w:rPr>
              <w:t>2</w:t>
            </w:r>
            <w:bookmarkStart w:id="0" w:name="_GoBack"/>
            <w:bookmarkEnd w:id="0"/>
          </w:p>
        </w:tc>
      </w:tr>
    </w:tbl>
    <w:p w14:paraId="07D18A70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5615FB">
    <w:pPr>
      <w:pStyle w:val="2"/>
      <w:jc w:val="righ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48EC2F">
    <w:pPr>
      <w:pStyle w:val="3"/>
      <w:pBdr>
        <w:bottom w:val="none" w:color="auto" w:sz="0" w:space="0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1C7"/>
    <w:rsid w:val="000268C0"/>
    <w:rsid w:val="000363B5"/>
    <w:rsid w:val="000375D7"/>
    <w:rsid w:val="00043015"/>
    <w:rsid w:val="00046DDE"/>
    <w:rsid w:val="00047EB9"/>
    <w:rsid w:val="00060A74"/>
    <w:rsid w:val="00067110"/>
    <w:rsid w:val="0009298A"/>
    <w:rsid w:val="000A2808"/>
    <w:rsid w:val="000A3BAC"/>
    <w:rsid w:val="000C26FD"/>
    <w:rsid w:val="000C2D85"/>
    <w:rsid w:val="000E5700"/>
    <w:rsid w:val="000F0C4B"/>
    <w:rsid w:val="000F0E22"/>
    <w:rsid w:val="00105A04"/>
    <w:rsid w:val="001169A9"/>
    <w:rsid w:val="00125EB2"/>
    <w:rsid w:val="00142A4C"/>
    <w:rsid w:val="00144279"/>
    <w:rsid w:val="001452FF"/>
    <w:rsid w:val="0016617A"/>
    <w:rsid w:val="00167E99"/>
    <w:rsid w:val="001975AB"/>
    <w:rsid w:val="001A00F5"/>
    <w:rsid w:val="001A1F65"/>
    <w:rsid w:val="001A5CE9"/>
    <w:rsid w:val="001C50AD"/>
    <w:rsid w:val="001D22EE"/>
    <w:rsid w:val="001D4C89"/>
    <w:rsid w:val="001E1838"/>
    <w:rsid w:val="001E3145"/>
    <w:rsid w:val="001E6509"/>
    <w:rsid w:val="001E7968"/>
    <w:rsid w:val="0022180A"/>
    <w:rsid w:val="00223ABC"/>
    <w:rsid w:val="002241B9"/>
    <w:rsid w:val="002274D9"/>
    <w:rsid w:val="0023455A"/>
    <w:rsid w:val="00237994"/>
    <w:rsid w:val="00251D58"/>
    <w:rsid w:val="002530EE"/>
    <w:rsid w:val="002549E6"/>
    <w:rsid w:val="00256602"/>
    <w:rsid w:val="00271C8D"/>
    <w:rsid w:val="00273B53"/>
    <w:rsid w:val="0028080C"/>
    <w:rsid w:val="00295257"/>
    <w:rsid w:val="00297703"/>
    <w:rsid w:val="002A0826"/>
    <w:rsid w:val="002A0984"/>
    <w:rsid w:val="002A589B"/>
    <w:rsid w:val="002B1184"/>
    <w:rsid w:val="002B71B8"/>
    <w:rsid w:val="002B7469"/>
    <w:rsid w:val="002C22C6"/>
    <w:rsid w:val="002C6568"/>
    <w:rsid w:val="002C723B"/>
    <w:rsid w:val="002D39BC"/>
    <w:rsid w:val="002E1B15"/>
    <w:rsid w:val="002E1D3A"/>
    <w:rsid w:val="003005F0"/>
    <w:rsid w:val="003030BF"/>
    <w:rsid w:val="00304F89"/>
    <w:rsid w:val="00306023"/>
    <w:rsid w:val="00327D5D"/>
    <w:rsid w:val="00344914"/>
    <w:rsid w:val="00346917"/>
    <w:rsid w:val="00354A7B"/>
    <w:rsid w:val="00360FDA"/>
    <w:rsid w:val="00363075"/>
    <w:rsid w:val="00367D18"/>
    <w:rsid w:val="00372A1C"/>
    <w:rsid w:val="0037435A"/>
    <w:rsid w:val="00377D8F"/>
    <w:rsid w:val="00383679"/>
    <w:rsid w:val="003A1E68"/>
    <w:rsid w:val="003B0122"/>
    <w:rsid w:val="003B0BE5"/>
    <w:rsid w:val="003D18F1"/>
    <w:rsid w:val="003E001E"/>
    <w:rsid w:val="003F7C4D"/>
    <w:rsid w:val="0040075F"/>
    <w:rsid w:val="00403300"/>
    <w:rsid w:val="004118C0"/>
    <w:rsid w:val="00417A31"/>
    <w:rsid w:val="0042004B"/>
    <w:rsid w:val="00433384"/>
    <w:rsid w:val="0043777D"/>
    <w:rsid w:val="0045767F"/>
    <w:rsid w:val="00463E9B"/>
    <w:rsid w:val="00467414"/>
    <w:rsid w:val="00473F30"/>
    <w:rsid w:val="0048591A"/>
    <w:rsid w:val="00486D86"/>
    <w:rsid w:val="0048721A"/>
    <w:rsid w:val="004A0BD5"/>
    <w:rsid w:val="004A1BBF"/>
    <w:rsid w:val="004A73E5"/>
    <w:rsid w:val="004C19BF"/>
    <w:rsid w:val="004D7640"/>
    <w:rsid w:val="004E1A9B"/>
    <w:rsid w:val="00500AB6"/>
    <w:rsid w:val="005155FB"/>
    <w:rsid w:val="00523907"/>
    <w:rsid w:val="00537C53"/>
    <w:rsid w:val="005438F5"/>
    <w:rsid w:val="00544901"/>
    <w:rsid w:val="005474D3"/>
    <w:rsid w:val="00550737"/>
    <w:rsid w:val="00555DD2"/>
    <w:rsid w:val="00565ED9"/>
    <w:rsid w:val="005760C6"/>
    <w:rsid w:val="00585A1B"/>
    <w:rsid w:val="00591260"/>
    <w:rsid w:val="00591314"/>
    <w:rsid w:val="00593D40"/>
    <w:rsid w:val="00595F1B"/>
    <w:rsid w:val="005A3BE0"/>
    <w:rsid w:val="005B1026"/>
    <w:rsid w:val="005B642F"/>
    <w:rsid w:val="005C04C1"/>
    <w:rsid w:val="005C1785"/>
    <w:rsid w:val="005D2D87"/>
    <w:rsid w:val="005D6A09"/>
    <w:rsid w:val="005E2B4B"/>
    <w:rsid w:val="005E5F63"/>
    <w:rsid w:val="005E6BA1"/>
    <w:rsid w:val="0060779A"/>
    <w:rsid w:val="00622F13"/>
    <w:rsid w:val="00625503"/>
    <w:rsid w:val="0062662D"/>
    <w:rsid w:val="00632E78"/>
    <w:rsid w:val="006344F1"/>
    <w:rsid w:val="00637186"/>
    <w:rsid w:val="00646DF4"/>
    <w:rsid w:val="00651DE6"/>
    <w:rsid w:val="006523BB"/>
    <w:rsid w:val="0065347E"/>
    <w:rsid w:val="00654B49"/>
    <w:rsid w:val="00662505"/>
    <w:rsid w:val="0066674C"/>
    <w:rsid w:val="006760F7"/>
    <w:rsid w:val="006861C7"/>
    <w:rsid w:val="00686DDF"/>
    <w:rsid w:val="00697B12"/>
    <w:rsid w:val="006A55BB"/>
    <w:rsid w:val="006A7613"/>
    <w:rsid w:val="006B661A"/>
    <w:rsid w:val="006B7D00"/>
    <w:rsid w:val="006C6BC5"/>
    <w:rsid w:val="006D61A2"/>
    <w:rsid w:val="006E1DB4"/>
    <w:rsid w:val="00753DB6"/>
    <w:rsid w:val="00763847"/>
    <w:rsid w:val="00771FE3"/>
    <w:rsid w:val="00776BDE"/>
    <w:rsid w:val="00786870"/>
    <w:rsid w:val="00792237"/>
    <w:rsid w:val="0079272A"/>
    <w:rsid w:val="007A1DA9"/>
    <w:rsid w:val="007B2252"/>
    <w:rsid w:val="007B79D9"/>
    <w:rsid w:val="007C67B1"/>
    <w:rsid w:val="007E354A"/>
    <w:rsid w:val="007E69C8"/>
    <w:rsid w:val="0080525B"/>
    <w:rsid w:val="008062C5"/>
    <w:rsid w:val="0080741A"/>
    <w:rsid w:val="00814B5B"/>
    <w:rsid w:val="00836F34"/>
    <w:rsid w:val="00843E73"/>
    <w:rsid w:val="00844EBF"/>
    <w:rsid w:val="00854F61"/>
    <w:rsid w:val="00864202"/>
    <w:rsid w:val="00873B59"/>
    <w:rsid w:val="0087701F"/>
    <w:rsid w:val="0089283D"/>
    <w:rsid w:val="008A0ADC"/>
    <w:rsid w:val="008A1BAB"/>
    <w:rsid w:val="008B38B7"/>
    <w:rsid w:val="008B458E"/>
    <w:rsid w:val="008C4D4A"/>
    <w:rsid w:val="008E11AE"/>
    <w:rsid w:val="008E1708"/>
    <w:rsid w:val="008E4844"/>
    <w:rsid w:val="00904492"/>
    <w:rsid w:val="00904DFB"/>
    <w:rsid w:val="0091457B"/>
    <w:rsid w:val="00923763"/>
    <w:rsid w:val="00930ED6"/>
    <w:rsid w:val="0093293F"/>
    <w:rsid w:val="00933105"/>
    <w:rsid w:val="009474EF"/>
    <w:rsid w:val="00962626"/>
    <w:rsid w:val="009767DD"/>
    <w:rsid w:val="00977AF2"/>
    <w:rsid w:val="00985FC5"/>
    <w:rsid w:val="00993BDD"/>
    <w:rsid w:val="009A6DFB"/>
    <w:rsid w:val="009B6EC0"/>
    <w:rsid w:val="009C7FAF"/>
    <w:rsid w:val="009D4199"/>
    <w:rsid w:val="009E5E6A"/>
    <w:rsid w:val="009F0DD5"/>
    <w:rsid w:val="009F1B95"/>
    <w:rsid w:val="009F6C05"/>
    <w:rsid w:val="00A13CB6"/>
    <w:rsid w:val="00A14A1A"/>
    <w:rsid w:val="00A22CDD"/>
    <w:rsid w:val="00A25AEE"/>
    <w:rsid w:val="00A31EB1"/>
    <w:rsid w:val="00A33AEA"/>
    <w:rsid w:val="00A461CD"/>
    <w:rsid w:val="00A469C5"/>
    <w:rsid w:val="00A5317D"/>
    <w:rsid w:val="00A6284E"/>
    <w:rsid w:val="00A63E81"/>
    <w:rsid w:val="00A8775A"/>
    <w:rsid w:val="00AA5998"/>
    <w:rsid w:val="00AB07E7"/>
    <w:rsid w:val="00AD1BA8"/>
    <w:rsid w:val="00B02A29"/>
    <w:rsid w:val="00B03522"/>
    <w:rsid w:val="00B04AD6"/>
    <w:rsid w:val="00B14CAA"/>
    <w:rsid w:val="00B257CE"/>
    <w:rsid w:val="00B4746C"/>
    <w:rsid w:val="00B65354"/>
    <w:rsid w:val="00B71A0E"/>
    <w:rsid w:val="00B81765"/>
    <w:rsid w:val="00B832F5"/>
    <w:rsid w:val="00BA2FAB"/>
    <w:rsid w:val="00BB5E28"/>
    <w:rsid w:val="00BD15F3"/>
    <w:rsid w:val="00BD7986"/>
    <w:rsid w:val="00BD79D3"/>
    <w:rsid w:val="00C04F82"/>
    <w:rsid w:val="00C15AC0"/>
    <w:rsid w:val="00C26030"/>
    <w:rsid w:val="00C41091"/>
    <w:rsid w:val="00C63056"/>
    <w:rsid w:val="00C661D1"/>
    <w:rsid w:val="00C775BA"/>
    <w:rsid w:val="00C85331"/>
    <w:rsid w:val="00C85A50"/>
    <w:rsid w:val="00C94D46"/>
    <w:rsid w:val="00CA443A"/>
    <w:rsid w:val="00CB2461"/>
    <w:rsid w:val="00CB37FD"/>
    <w:rsid w:val="00CC4D65"/>
    <w:rsid w:val="00CC61E7"/>
    <w:rsid w:val="00CD25AD"/>
    <w:rsid w:val="00CD3FFC"/>
    <w:rsid w:val="00CF565C"/>
    <w:rsid w:val="00D016A3"/>
    <w:rsid w:val="00D512E3"/>
    <w:rsid w:val="00D602C9"/>
    <w:rsid w:val="00DA26A9"/>
    <w:rsid w:val="00DB01FF"/>
    <w:rsid w:val="00DC7778"/>
    <w:rsid w:val="00DE7391"/>
    <w:rsid w:val="00DF2DB5"/>
    <w:rsid w:val="00DF6560"/>
    <w:rsid w:val="00E04CC0"/>
    <w:rsid w:val="00E136FF"/>
    <w:rsid w:val="00E32528"/>
    <w:rsid w:val="00E35F26"/>
    <w:rsid w:val="00E53165"/>
    <w:rsid w:val="00E61EF7"/>
    <w:rsid w:val="00E663B4"/>
    <w:rsid w:val="00E80CEB"/>
    <w:rsid w:val="00EA5103"/>
    <w:rsid w:val="00EA6FB9"/>
    <w:rsid w:val="00EB5E6A"/>
    <w:rsid w:val="00EC2AD7"/>
    <w:rsid w:val="00ED7DE0"/>
    <w:rsid w:val="00EE7891"/>
    <w:rsid w:val="00EF49FE"/>
    <w:rsid w:val="00EF5341"/>
    <w:rsid w:val="00F04908"/>
    <w:rsid w:val="00F07C21"/>
    <w:rsid w:val="00F12EF6"/>
    <w:rsid w:val="00F21065"/>
    <w:rsid w:val="00F24CB4"/>
    <w:rsid w:val="00F43465"/>
    <w:rsid w:val="00F45475"/>
    <w:rsid w:val="00F64E72"/>
    <w:rsid w:val="00F70C7D"/>
    <w:rsid w:val="00F9272E"/>
    <w:rsid w:val="00F97743"/>
    <w:rsid w:val="00FA6DAF"/>
    <w:rsid w:val="00FC6884"/>
    <w:rsid w:val="00FE62F3"/>
    <w:rsid w:val="00FF71D2"/>
    <w:rsid w:val="10B136C4"/>
    <w:rsid w:val="1B2418A5"/>
    <w:rsid w:val="1FBFC074"/>
    <w:rsid w:val="2A3F6727"/>
    <w:rsid w:val="36FB9E1F"/>
    <w:rsid w:val="370424B5"/>
    <w:rsid w:val="3BFA3B96"/>
    <w:rsid w:val="3CEF3472"/>
    <w:rsid w:val="3EFF16E9"/>
    <w:rsid w:val="4B5E50B8"/>
    <w:rsid w:val="4DD76D6F"/>
    <w:rsid w:val="52B9024C"/>
    <w:rsid w:val="556E3E0C"/>
    <w:rsid w:val="59F94F32"/>
    <w:rsid w:val="641D4146"/>
    <w:rsid w:val="6F73513E"/>
    <w:rsid w:val="77CF73AC"/>
    <w:rsid w:val="78FF0116"/>
    <w:rsid w:val="7DF06F0E"/>
    <w:rsid w:val="B7DDD54D"/>
    <w:rsid w:val="E3FFE6ED"/>
    <w:rsid w:val="F5DB8A63"/>
    <w:rsid w:val="F797912E"/>
    <w:rsid w:val="FE7B48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7">
    <w:name w:val="_Style 6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  <w:style w:type="paragraph" w:customStyle="1" w:styleId="8">
    <w:name w:val="Char Char Char"/>
    <w:basedOn w:val="1"/>
    <w:qFormat/>
    <w:uiPriority w:val="0"/>
    <w:rPr>
      <w:szCs w:val="21"/>
    </w:rPr>
  </w:style>
  <w:style w:type="paragraph" w:customStyle="1" w:styleId="9">
    <w:name w:val="Char Char Char Char Char Char Char Char Char Char Char Char Char Char Char Char"/>
    <w:basedOn w:val="1"/>
    <w:qFormat/>
    <w:uiPriority w:val="0"/>
  </w:style>
  <w:style w:type="paragraph" w:customStyle="1" w:styleId="10">
    <w:name w:val=" Char Char Char"/>
    <w:basedOn w:val="1"/>
    <w:qFormat/>
    <w:uiPriority w:val="0"/>
  </w:style>
  <w:style w:type="character" w:customStyle="1" w:styleId="11">
    <w:name w:val="页脚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12">
    <w:name w:val="页眉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3387</Words>
  <Characters>3526</Characters>
  <Lines>60</Lines>
  <Paragraphs>17</Paragraphs>
  <TotalTime>5</TotalTime>
  <ScaleCrop>false</ScaleCrop>
  <LinksUpToDate>false</LinksUpToDate>
  <CharactersWithSpaces>3658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2012-09-09T08:59:00Z</dcterms:created>
  <dc:creator>微软用户</dc:creator>
  <cp:lastModifiedBy>Yujiaxin</cp:lastModifiedBy>
  <cp:lastPrinted>2014-02-21T05:34:00Z</cp:lastPrinted>
  <dcterms:modified xsi:type="dcterms:W3CDTF">2026-05-22T02:23:41Z</dcterms:modified>
  <cp:revision>262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3378DF92D5494EA79182626F58817F75</vt:lpwstr>
  </property>
  <property fmtid="{D5CDD505-2E9C-101B-9397-08002B2CF9AE}" pid="4" name="KSOTemplateDocerSaveRecord">
    <vt:lpwstr>eyJoZGlkIjoiN2U2ZWMyNjRhMTc0ZTdjNjFkMDFkY2JhNDUyNGVjMGQiLCJ1c2VySWQiOiIxMTY3NzUwNzc3In0=</vt:lpwstr>
  </property>
</Properties>
</file>