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F5" w:rsidRDefault="001F5802">
      <w:pPr>
        <w:spacing w:beforeLines="50" w:before="156" w:afterLines="50" w:after="156" w:line="400" w:lineRule="exact"/>
        <w:rPr>
          <w:bCs/>
          <w:iCs/>
          <w:color w:val="000000"/>
          <w:sz w:val="24"/>
        </w:rPr>
      </w:pPr>
      <w:bookmarkStart w:id="0" w:name="_GoBack"/>
      <w:bookmarkEnd w:id="0"/>
      <w:r>
        <w:rPr>
          <w:rFonts w:hAnsi="宋体"/>
          <w:bCs/>
          <w:iCs/>
          <w:color w:val="000000"/>
          <w:sz w:val="24"/>
        </w:rPr>
        <w:t>证券代码：</w:t>
      </w:r>
      <w:r>
        <w:rPr>
          <w:bCs/>
          <w:iCs/>
          <w:color w:val="000000"/>
          <w:sz w:val="24"/>
        </w:rPr>
        <w:t xml:space="preserve"> </w:t>
      </w:r>
      <w:r>
        <w:rPr>
          <w:color w:val="000000"/>
          <w:sz w:val="24"/>
        </w:rPr>
        <w:t xml:space="preserve">600281                             </w:t>
      </w:r>
      <w:r>
        <w:rPr>
          <w:rFonts w:hAnsi="宋体"/>
          <w:bCs/>
          <w:iCs/>
          <w:color w:val="000000"/>
          <w:sz w:val="24"/>
        </w:rPr>
        <w:t>证券简称：</w:t>
      </w:r>
      <w:r>
        <w:rPr>
          <w:color w:val="000000"/>
          <w:sz w:val="24"/>
        </w:rPr>
        <w:t>华阳新材</w:t>
      </w:r>
    </w:p>
    <w:p w:rsidR="00FF21F5" w:rsidRDefault="001F5802">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山西华阳新材料股份有限公司</w:t>
      </w:r>
      <w:r>
        <w:rPr>
          <w:rFonts w:ascii="宋体" w:hAnsi="宋体" w:hint="eastAsia"/>
          <w:b/>
          <w:bCs/>
          <w:iCs/>
          <w:color w:val="000000"/>
          <w:sz w:val="32"/>
          <w:szCs w:val="32"/>
        </w:rPr>
        <w:t>投资者关系活动记录表</w:t>
      </w:r>
    </w:p>
    <w:p w:rsidR="00FF21F5" w:rsidRDefault="001F5802">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FF21F5">
        <w:tc>
          <w:tcPr>
            <w:tcW w:w="1908"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kern w:val="0"/>
                <w:sz w:val="24"/>
              </w:rPr>
            </w:pPr>
            <w:r>
              <w:rPr>
                <w:rFonts w:hAnsi="宋体"/>
                <w:bCs/>
                <w:iCs/>
                <w:color w:val="000000"/>
                <w:kern w:val="0"/>
                <w:sz w:val="24"/>
              </w:rPr>
              <w:t>投资者关系活动类别</w:t>
            </w:r>
          </w:p>
          <w:p w:rsidR="00FF21F5" w:rsidRDefault="00FF21F5">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FF21F5" w:rsidRDefault="001F580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FF21F5" w:rsidRDefault="001F580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FF21F5" w:rsidRDefault="001F5802">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FF21F5" w:rsidRDefault="001F580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FF21F5">
        <w:tc>
          <w:tcPr>
            <w:tcW w:w="1908"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sz w:val="24"/>
                <w:lang w:val="en-GB"/>
              </w:rPr>
            </w:pPr>
            <w:r>
              <w:rPr>
                <w:rFonts w:hint="eastAsia"/>
                <w:bCs/>
                <w:iCs/>
                <w:color w:val="000000"/>
                <w:sz w:val="24"/>
                <w:lang w:val="en-GB"/>
              </w:rPr>
              <w:t>投资者网上提问</w:t>
            </w:r>
          </w:p>
        </w:tc>
      </w:tr>
      <w:tr w:rsidR="00FF21F5">
        <w:tc>
          <w:tcPr>
            <w:tcW w:w="1908"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22</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14:00~17:00</w:t>
            </w:r>
          </w:p>
        </w:tc>
      </w:tr>
      <w:tr w:rsidR="00FF21F5">
        <w:tc>
          <w:tcPr>
            <w:tcW w:w="1908"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FF21F5">
        <w:tc>
          <w:tcPr>
            <w:tcW w:w="1908"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FF21F5" w:rsidRDefault="001F5802">
            <w:pPr>
              <w:spacing w:line="420" w:lineRule="exact"/>
              <w:rPr>
                <w:rFonts w:ascii="宋体" w:hAnsi="宋体"/>
                <w:bCs/>
                <w:sz w:val="24"/>
              </w:rPr>
            </w:pPr>
            <w:r>
              <w:rPr>
                <w:rFonts w:ascii="宋体" w:hAnsi="宋体"/>
                <w:bCs/>
                <w:sz w:val="24"/>
              </w:rPr>
              <w:t>1</w:t>
            </w:r>
            <w:r>
              <w:rPr>
                <w:rFonts w:ascii="宋体" w:hAnsi="宋体"/>
                <w:bCs/>
                <w:sz w:val="24"/>
              </w:rPr>
              <w:t>、总经理景红升</w:t>
            </w:r>
          </w:p>
          <w:p w:rsidR="00FF21F5" w:rsidRDefault="001F5802">
            <w:pPr>
              <w:spacing w:line="420" w:lineRule="exact"/>
              <w:rPr>
                <w:rFonts w:ascii="宋体" w:hAnsi="宋体"/>
                <w:bCs/>
                <w:sz w:val="24"/>
              </w:rPr>
            </w:pPr>
            <w:r>
              <w:rPr>
                <w:rFonts w:ascii="宋体" w:hAnsi="宋体"/>
                <w:bCs/>
                <w:sz w:val="24"/>
              </w:rPr>
              <w:t>2</w:t>
            </w:r>
            <w:r>
              <w:rPr>
                <w:rFonts w:ascii="宋体" w:hAnsi="宋体"/>
                <w:bCs/>
                <w:sz w:val="24"/>
              </w:rPr>
              <w:t>、董事会秘书姜伟</w:t>
            </w:r>
          </w:p>
          <w:p w:rsidR="00FF21F5" w:rsidRDefault="001F5802">
            <w:pPr>
              <w:spacing w:line="420" w:lineRule="exact"/>
              <w:rPr>
                <w:rFonts w:ascii="宋体" w:hAnsi="宋体"/>
                <w:bCs/>
                <w:sz w:val="24"/>
              </w:rPr>
            </w:pPr>
            <w:r>
              <w:rPr>
                <w:rFonts w:ascii="宋体" w:hAnsi="宋体"/>
                <w:bCs/>
                <w:sz w:val="24"/>
              </w:rPr>
              <w:t>3</w:t>
            </w:r>
            <w:r>
              <w:rPr>
                <w:rFonts w:ascii="宋体" w:hAnsi="宋体"/>
                <w:bCs/>
                <w:sz w:val="24"/>
              </w:rPr>
              <w:t>、财务总监孙国星</w:t>
            </w:r>
          </w:p>
          <w:p w:rsidR="00FF21F5" w:rsidRDefault="001F5802">
            <w:pPr>
              <w:spacing w:line="420" w:lineRule="exact"/>
              <w:rPr>
                <w:rFonts w:ascii="宋体" w:hAnsi="宋体"/>
                <w:bCs/>
                <w:sz w:val="24"/>
              </w:rPr>
            </w:pPr>
            <w:r>
              <w:rPr>
                <w:rFonts w:ascii="宋体" w:hAnsi="宋体"/>
                <w:bCs/>
                <w:sz w:val="24"/>
              </w:rPr>
              <w:t>4</w:t>
            </w:r>
            <w:r>
              <w:rPr>
                <w:rFonts w:ascii="宋体" w:hAnsi="宋体"/>
                <w:bCs/>
                <w:sz w:val="24"/>
              </w:rPr>
              <w:t>、证券事务代表康杰</w:t>
            </w:r>
          </w:p>
        </w:tc>
      </w:tr>
      <w:tr w:rsidR="00FF21F5">
        <w:tc>
          <w:tcPr>
            <w:tcW w:w="1908" w:type="dxa"/>
            <w:tcBorders>
              <w:top w:val="single" w:sz="4" w:space="0" w:color="auto"/>
              <w:left w:val="single" w:sz="4" w:space="0" w:color="auto"/>
              <w:bottom w:val="single" w:sz="4" w:space="0" w:color="auto"/>
              <w:right w:val="single" w:sz="4" w:space="0" w:color="auto"/>
            </w:tcBorders>
            <w:vAlign w:val="center"/>
          </w:tcPr>
          <w:p w:rsidR="00FF21F5" w:rsidRDefault="001F5802">
            <w:pPr>
              <w:spacing w:line="420" w:lineRule="exact"/>
              <w:rPr>
                <w:bCs/>
                <w:iCs/>
                <w:color w:val="000000"/>
                <w:kern w:val="0"/>
                <w:sz w:val="24"/>
              </w:rPr>
            </w:pPr>
            <w:r>
              <w:rPr>
                <w:rFonts w:hAnsi="宋体"/>
                <w:bCs/>
                <w:iCs/>
                <w:color w:val="000000"/>
                <w:kern w:val="0"/>
                <w:sz w:val="24"/>
              </w:rPr>
              <w:t>投资者关系活动主要内容介绍</w:t>
            </w:r>
          </w:p>
          <w:p w:rsidR="00FF21F5" w:rsidRDefault="00FF21F5">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FF21F5" w:rsidRDefault="001F5802">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、请问截止</w:t>
            </w:r>
            <w:r>
              <w:rPr>
                <w:rFonts w:ascii="宋体" w:hAnsi="宋体"/>
                <w:b/>
                <w:sz w:val="24"/>
                <w:szCs w:val="24"/>
              </w:rPr>
              <w:t>5</w:t>
            </w:r>
            <w:r>
              <w:rPr>
                <w:rFonts w:ascii="宋体" w:hAnsi="宋体"/>
                <w:b/>
                <w:sz w:val="24"/>
                <w:szCs w:val="24"/>
              </w:rPr>
              <w:t>月</w:t>
            </w:r>
            <w:r>
              <w:rPr>
                <w:rFonts w:ascii="宋体" w:hAnsi="宋体"/>
                <w:b/>
                <w:sz w:val="24"/>
                <w:szCs w:val="24"/>
              </w:rPr>
              <w:t>20</w:t>
            </w:r>
            <w:r>
              <w:rPr>
                <w:rFonts w:ascii="宋体" w:hAnsi="宋体"/>
                <w:b/>
                <w:sz w:val="24"/>
                <w:szCs w:val="24"/>
              </w:rPr>
              <w:t>日，公司股东人数是多少？</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尊敬的投资者，您好！截止</w:t>
            </w:r>
            <w:r>
              <w:rPr>
                <w:rFonts w:ascii="宋体" w:hAnsi="宋体"/>
                <w:sz w:val="24"/>
                <w:szCs w:val="24"/>
              </w:rPr>
              <w:t>2026</w:t>
            </w:r>
            <w:r>
              <w:rPr>
                <w:rFonts w:ascii="宋体" w:hAnsi="宋体"/>
                <w:sz w:val="24"/>
                <w:szCs w:val="24"/>
              </w:rPr>
              <w:t>年</w:t>
            </w:r>
            <w:r>
              <w:rPr>
                <w:rFonts w:ascii="宋体" w:hAnsi="宋体"/>
                <w:sz w:val="24"/>
                <w:szCs w:val="24"/>
              </w:rPr>
              <w:t>4</w:t>
            </w:r>
            <w:r>
              <w:rPr>
                <w:rFonts w:ascii="宋体" w:hAnsi="宋体"/>
                <w:sz w:val="24"/>
                <w:szCs w:val="24"/>
              </w:rPr>
              <w:t>月底，公司股东人数为</w:t>
            </w:r>
            <w:r>
              <w:rPr>
                <w:rFonts w:ascii="宋体" w:hAnsi="宋体"/>
                <w:sz w:val="24"/>
                <w:szCs w:val="24"/>
              </w:rPr>
              <w:t>46879</w:t>
            </w:r>
            <w:r>
              <w:rPr>
                <w:rFonts w:ascii="宋体" w:hAnsi="宋体"/>
                <w:sz w:val="24"/>
                <w:szCs w:val="24"/>
              </w:rPr>
              <w:t>人。感谢您对公司的关注。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、剥离亏损项目的进展如何？今年内能完成正式转让吗？</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尊敬的投资者，您好！该事项已经股东会审议通过，股权交易价款已完成支付。目前正按照股权转让协议的有关规定推进后续工商变更登记等相关工作。感谢您对公司的关注。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、公司年报中披露建立优质标的筛选机制，为后续注入新动能，提升资产质量做好储备，请问此项工作有何实际进展和落实，不会又是纸上谈兵吧</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尊敬的投资者，您好！公司将通过优化资产结构、提升资产</w:t>
            </w:r>
            <w:r>
              <w:rPr>
                <w:rFonts w:ascii="宋体" w:hAnsi="宋体"/>
                <w:sz w:val="24"/>
                <w:szCs w:val="24"/>
              </w:rPr>
              <w:lastRenderedPageBreak/>
              <w:t>质量，增强整体盈利能力和风险应对能力。公司目前正在积极关注与主业协同性强的上下游领域，若有进展，将严格依照监管规则，及时依法合规履行信息披露义务。感谢您对公司的关注。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、公司剥离降解材料业务后主营只剩贵金属回收且盈利很差</w:t>
            </w:r>
            <w:r>
              <w:rPr>
                <w:rFonts w:ascii="宋体" w:hAnsi="宋体"/>
                <w:b/>
                <w:sz w:val="24"/>
                <w:szCs w:val="24"/>
              </w:rPr>
              <w:t xml:space="preserve"> </w:t>
            </w:r>
            <w:r>
              <w:rPr>
                <w:rFonts w:ascii="宋体" w:hAnsi="宋体"/>
                <w:b/>
                <w:sz w:val="24"/>
                <w:szCs w:val="24"/>
              </w:rPr>
              <w:t>公司以后有什么打算？</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将做强贵金属加工回收利用产业。铂网加工稳产提质，优化工艺，保障基础产量，提升产能利用率，提升盈利空间；废催化剂回收利用积极参与石油炼化企业、化工企业低含量废料和废催化剂的竞标，大力开拓市场，</w:t>
            </w:r>
            <w:r>
              <w:rPr>
                <w:rFonts w:ascii="宋体" w:hAnsi="宋体"/>
                <w:sz w:val="24"/>
                <w:szCs w:val="24"/>
              </w:rPr>
              <w:t>提升回收产量；贵金属化合物拓展石化、化工新客户，推动氯化钯、硝酸钯等产品销量，力争产能提升。通过以上举措力争收入增长，提升盈利能力。感谢您对公司的关注。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、公司一季度利润仍为负</w:t>
            </w:r>
            <w:r>
              <w:rPr>
                <w:rFonts w:ascii="宋体" w:hAnsi="宋体"/>
                <w:b/>
                <w:sz w:val="24"/>
                <w:szCs w:val="24"/>
              </w:rPr>
              <w:t xml:space="preserve"> </w:t>
            </w:r>
            <w:r>
              <w:rPr>
                <w:rFonts w:ascii="宋体" w:hAnsi="宋体"/>
                <w:b/>
                <w:sz w:val="24"/>
                <w:szCs w:val="24"/>
              </w:rPr>
              <w:t>今年再亏损</w:t>
            </w:r>
            <w:r>
              <w:rPr>
                <w:rFonts w:ascii="宋体" w:hAnsi="宋体"/>
                <w:b/>
                <w:sz w:val="24"/>
                <w:szCs w:val="24"/>
              </w:rPr>
              <w:t xml:space="preserve"> </w:t>
            </w:r>
            <w:r>
              <w:rPr>
                <w:rFonts w:ascii="宋体" w:hAnsi="宋体"/>
                <w:b/>
                <w:sz w:val="24"/>
                <w:szCs w:val="24"/>
              </w:rPr>
              <w:t>净资产就为负了</w:t>
            </w:r>
            <w:r>
              <w:rPr>
                <w:rFonts w:ascii="宋体" w:hAnsi="宋体"/>
                <w:b/>
                <w:sz w:val="24"/>
                <w:szCs w:val="24"/>
              </w:rPr>
              <w:t xml:space="preserve"> </w:t>
            </w:r>
            <w:r>
              <w:rPr>
                <w:rFonts w:ascii="宋体" w:hAnsi="宋体"/>
                <w:b/>
                <w:sz w:val="24"/>
                <w:szCs w:val="24"/>
              </w:rPr>
              <w:t>明年强制退市</w:t>
            </w:r>
            <w:r>
              <w:rPr>
                <w:rFonts w:ascii="宋体" w:hAnsi="宋体"/>
                <w:b/>
                <w:sz w:val="24"/>
                <w:szCs w:val="24"/>
              </w:rPr>
              <w:t xml:space="preserve"> </w:t>
            </w:r>
            <w:r>
              <w:rPr>
                <w:rFonts w:ascii="宋体" w:hAnsi="宋体"/>
                <w:b/>
                <w:sz w:val="24"/>
                <w:szCs w:val="24"/>
              </w:rPr>
              <w:t>请问公司有什么打算</w:t>
            </w:r>
            <w:r>
              <w:rPr>
                <w:rFonts w:ascii="宋体" w:hAnsi="宋体"/>
                <w:b/>
                <w:sz w:val="24"/>
                <w:szCs w:val="24"/>
              </w:rPr>
              <w:t xml:space="preserve"> </w:t>
            </w:r>
            <w:r>
              <w:rPr>
                <w:rFonts w:ascii="宋体" w:hAnsi="宋体"/>
                <w:b/>
                <w:sz w:val="24"/>
                <w:szCs w:val="24"/>
              </w:rPr>
              <w:t>如何应对？</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尊敬的投资者，您好！公司将目前长期亏损的生物降解新材料资产转让至控股股东，实现资产结构优化，提升资产质量和盈利能力。争取剩余土地出让补偿金返还，改善现金流状态。感谢您对公司的关注。</w:t>
            </w:r>
            <w:r>
              <w:rPr>
                <w:rFonts w:ascii="宋体" w:hAnsi="宋体"/>
                <w:sz w:val="24"/>
                <w:szCs w:val="24"/>
              </w:rPr>
              <w:br/>
            </w:r>
            <w:r>
              <w:rPr>
                <w:rFonts w:ascii="宋体" w:hAnsi="宋体"/>
                <w:sz w:val="24"/>
                <w:szCs w:val="24"/>
              </w:rPr>
              <w:br/>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、公司一直号称保护投资者权益并注重市值管理，并曾对外宣传三年内打造百亿</w:t>
            </w:r>
            <w:r>
              <w:rPr>
                <w:rFonts w:ascii="宋体" w:hAnsi="宋体"/>
                <w:b/>
                <w:sz w:val="24"/>
                <w:szCs w:val="24"/>
              </w:rPr>
              <w:t>市值上市公司，然而面对目前实际公司市值却不足</w:t>
            </w:r>
            <w:r>
              <w:rPr>
                <w:rFonts w:ascii="宋体" w:hAnsi="宋体"/>
                <w:b/>
                <w:sz w:val="24"/>
                <w:szCs w:val="24"/>
              </w:rPr>
              <w:t>28</w:t>
            </w:r>
            <w:r>
              <w:rPr>
                <w:rFonts w:ascii="宋体" w:hAnsi="宋体"/>
                <w:b/>
                <w:sz w:val="24"/>
                <w:szCs w:val="24"/>
              </w:rPr>
              <w:t>亿，请如实告知公司究竟采取了何种措施来维护市值？</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尊敬的投资者，您好！公司将以</w:t>
            </w:r>
            <w:r>
              <w:rPr>
                <w:rFonts w:ascii="宋体" w:hAnsi="宋体"/>
                <w:sz w:val="24"/>
                <w:szCs w:val="24"/>
              </w:rPr>
              <w:t>“</w:t>
            </w:r>
            <w:r>
              <w:rPr>
                <w:rFonts w:ascii="宋体" w:hAnsi="宋体"/>
                <w:sz w:val="24"/>
                <w:szCs w:val="24"/>
              </w:rPr>
              <w:t>高效、创新、绿色、安全、幸福</w:t>
            </w:r>
            <w:r>
              <w:rPr>
                <w:rFonts w:ascii="宋体" w:hAnsi="宋体"/>
                <w:sz w:val="24"/>
                <w:szCs w:val="24"/>
              </w:rPr>
              <w:t>”</w:t>
            </w:r>
            <w:r>
              <w:rPr>
                <w:rFonts w:ascii="宋体" w:hAnsi="宋体"/>
                <w:sz w:val="24"/>
                <w:szCs w:val="24"/>
              </w:rPr>
              <w:t>为目标，持续提高生产经营管理，不断提升公司市值和价值创造能力。在此基础上，公司将深耕贵金属回收加工产业，增强竞争能力；充电桩业务紧跟市场发展趋势，提升充电站运行效能。感谢您对公司的关注。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7</w:t>
            </w:r>
            <w:r>
              <w:rPr>
                <w:rFonts w:ascii="宋体" w:hAnsi="宋体"/>
                <w:b/>
                <w:sz w:val="24"/>
                <w:szCs w:val="24"/>
              </w:rPr>
              <w:t>、公司改名名转型已五年，随着</w:t>
            </w:r>
            <w:r>
              <w:rPr>
                <w:rFonts w:ascii="宋体" w:hAnsi="宋体"/>
                <w:b/>
                <w:sz w:val="24"/>
                <w:szCs w:val="24"/>
              </w:rPr>
              <w:t>PBAT</w:t>
            </w:r>
            <w:r>
              <w:rPr>
                <w:rFonts w:ascii="宋体" w:hAnsi="宋体"/>
                <w:b/>
                <w:sz w:val="24"/>
                <w:szCs w:val="24"/>
              </w:rPr>
              <w:t>亏损项目的剥离是否</w:t>
            </w:r>
            <w:r>
              <w:rPr>
                <w:rFonts w:ascii="宋体" w:hAnsi="宋体"/>
                <w:b/>
                <w:sz w:val="24"/>
                <w:szCs w:val="24"/>
              </w:rPr>
              <w:lastRenderedPageBreak/>
              <w:t>意味着公司转型的失败，当初作为山西新材料资源整合的上市公司平台，多年来不见动静也无新的盈利资产注入，一直发展到</w:t>
            </w:r>
            <w:r>
              <w:rPr>
                <w:rFonts w:ascii="宋体" w:hAnsi="宋体"/>
                <w:b/>
                <w:sz w:val="24"/>
                <w:szCs w:val="24"/>
              </w:rPr>
              <w:t>目前濒临退市边缘的困境，作为管理层有何感想，后续将会采取哪些切实行动来扭转目前的不利局面</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目前生产经营正常，正在通过多种举措，提高收入，提高盈利能力。引入精益管理工具，减少生产过程中的浪费，提升设备综合效率；与核心供应商建立长期战略合作关系，锁定优惠价格，保障供应链稳定。感谢您对公司的关注。</w:t>
            </w:r>
          </w:p>
          <w:p w:rsidR="00FF21F5" w:rsidRDefault="001F5802">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、公司多年亏损</w:t>
            </w:r>
            <w:r>
              <w:rPr>
                <w:rFonts w:ascii="宋体" w:hAnsi="宋体"/>
                <w:b/>
                <w:sz w:val="24"/>
                <w:szCs w:val="24"/>
              </w:rPr>
              <w:t>2026</w:t>
            </w:r>
            <w:r>
              <w:rPr>
                <w:rFonts w:ascii="宋体" w:hAnsi="宋体"/>
                <w:b/>
                <w:sz w:val="24"/>
                <w:szCs w:val="24"/>
              </w:rPr>
              <w:t>年有没有退市风险？</w:t>
            </w:r>
          </w:p>
          <w:p w:rsidR="00FF21F5" w:rsidRDefault="001F5802">
            <w:pPr>
              <w:pStyle w:val="Style6"/>
              <w:spacing w:line="460" w:lineRule="exact"/>
              <w:ind w:leftChars="-1" w:left="-2" w:firstLine="480"/>
              <w:rPr>
                <w:rFonts w:ascii="宋体" w:hAnsi="宋体"/>
                <w:sz w:val="24"/>
                <w:szCs w:val="24"/>
              </w:rPr>
            </w:pPr>
            <w:r>
              <w:rPr>
                <w:rFonts w:ascii="宋体" w:hAnsi="宋体"/>
                <w:sz w:val="24"/>
                <w:szCs w:val="24"/>
              </w:rPr>
              <w:t>尊敬的投资者，您好！公司目前没有这方面的风险。感谢您对公司的关注。</w:t>
            </w:r>
          </w:p>
          <w:p w:rsidR="00FF21F5" w:rsidRDefault="00FF21F5">
            <w:pPr>
              <w:pStyle w:val="Style6"/>
              <w:spacing w:line="460" w:lineRule="exact"/>
              <w:ind w:leftChars="-1" w:left="-2" w:firstLine="480"/>
              <w:rPr>
                <w:rFonts w:ascii="宋体" w:hAnsi="宋体"/>
                <w:sz w:val="24"/>
                <w:szCs w:val="24"/>
              </w:rPr>
            </w:pPr>
          </w:p>
          <w:p w:rsidR="00FF21F5" w:rsidRDefault="00FF21F5">
            <w:pPr>
              <w:pStyle w:val="Style6"/>
              <w:spacing w:line="460" w:lineRule="exact"/>
              <w:ind w:firstLineChars="50" w:firstLine="120"/>
              <w:rPr>
                <w:rFonts w:ascii="宋体" w:hAnsi="宋体"/>
                <w:sz w:val="24"/>
                <w:szCs w:val="24"/>
              </w:rPr>
            </w:pPr>
          </w:p>
          <w:p w:rsidR="00FF21F5" w:rsidRDefault="00FF21F5">
            <w:pPr>
              <w:adjustRightInd w:val="0"/>
              <w:snapToGrid w:val="0"/>
              <w:spacing w:line="500" w:lineRule="exact"/>
              <w:rPr>
                <w:rFonts w:ascii="宋体" w:hAnsi="宋体"/>
                <w:bCs/>
                <w:iCs/>
                <w:color w:val="000000"/>
                <w:sz w:val="24"/>
              </w:rPr>
            </w:pPr>
          </w:p>
        </w:tc>
      </w:tr>
      <w:tr w:rsidR="00FF21F5">
        <w:tc>
          <w:tcPr>
            <w:tcW w:w="1908" w:type="dxa"/>
            <w:tcBorders>
              <w:top w:val="single" w:sz="4" w:space="0" w:color="auto"/>
              <w:left w:val="single" w:sz="4" w:space="0" w:color="auto"/>
              <w:bottom w:val="single" w:sz="4" w:space="0" w:color="auto"/>
              <w:right w:val="single" w:sz="4" w:space="0" w:color="auto"/>
            </w:tcBorders>
            <w:vAlign w:val="center"/>
          </w:tcPr>
          <w:p w:rsidR="00FF21F5" w:rsidRDefault="001F5802">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FF21F5" w:rsidRDefault="00FF21F5">
            <w:pPr>
              <w:spacing w:line="420" w:lineRule="exact"/>
              <w:rPr>
                <w:bCs/>
                <w:iCs/>
                <w:color w:val="000000"/>
                <w:sz w:val="24"/>
              </w:rPr>
            </w:pPr>
          </w:p>
        </w:tc>
      </w:tr>
      <w:tr w:rsidR="00FF21F5">
        <w:tc>
          <w:tcPr>
            <w:tcW w:w="1908" w:type="dxa"/>
            <w:tcBorders>
              <w:top w:val="single" w:sz="4" w:space="0" w:color="auto"/>
              <w:left w:val="single" w:sz="4" w:space="0" w:color="auto"/>
              <w:bottom w:val="single" w:sz="4" w:space="0" w:color="auto"/>
              <w:right w:val="single" w:sz="4" w:space="0" w:color="auto"/>
            </w:tcBorders>
            <w:vAlign w:val="center"/>
          </w:tcPr>
          <w:p w:rsidR="00FF21F5" w:rsidRDefault="001F580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FF21F5" w:rsidRDefault="001F5802">
            <w:pPr>
              <w:spacing w:line="420" w:lineRule="exact"/>
              <w:rPr>
                <w:bCs/>
                <w:iCs/>
                <w:color w:val="000000"/>
                <w:sz w:val="24"/>
              </w:rPr>
            </w:pPr>
            <w:r>
              <w:rPr>
                <w:bCs/>
                <w:iCs/>
                <w:color w:val="000000"/>
                <w:sz w:val="24"/>
              </w:rPr>
              <w:t>2026-05-22 16:58:41</w:t>
            </w:r>
          </w:p>
        </w:tc>
      </w:tr>
    </w:tbl>
    <w:p w:rsidR="00FF21F5" w:rsidRDefault="00FF21F5"/>
    <w:sectPr w:rsidR="00FF21F5">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02" w:rsidRDefault="001F5802">
      <w:r>
        <w:separator/>
      </w:r>
    </w:p>
  </w:endnote>
  <w:endnote w:type="continuationSeparator" w:id="0">
    <w:p w:rsidR="001F5802" w:rsidRDefault="001F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F5" w:rsidRDefault="001F5802">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02" w:rsidRDefault="001F5802">
      <w:r>
        <w:separator/>
      </w:r>
    </w:p>
  </w:footnote>
  <w:footnote w:type="continuationSeparator" w:id="0">
    <w:p w:rsidR="001F5802" w:rsidRDefault="001F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F5" w:rsidRDefault="001F5802">
    <w:pPr>
      <w:pStyle w:val="a5"/>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1F5802"/>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10F5"/>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21F5"/>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898A0D-30E4-4B01-B326-6B110C8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981</Characters>
  <Application>Microsoft Office Word</Application>
  <DocSecurity>0</DocSecurity>
  <Lines>122</Lines>
  <Paragraphs>123</Paragraphs>
  <ScaleCrop>false</ScaleCrop>
  <Company>微软中国</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cp:revision>
  <cp:lastPrinted>2014-02-21T05:34:00Z</cp:lastPrinted>
  <dcterms:created xsi:type="dcterms:W3CDTF">2026-05-22T08:59:00Z</dcterms:created>
  <dcterms:modified xsi:type="dcterms:W3CDTF">2026-05-22T08:59:00Z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