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4300" w14:textId="77777777" w:rsidR="00BD774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iCs/>
          <w:color w:val="000000"/>
          <w:sz w:val="24"/>
        </w:rPr>
      </w:pPr>
      <w:r>
        <w:rPr>
          <w:rFonts w:ascii="宋体" w:hAnsi="宋体" w:hint="eastAsia"/>
          <w:iCs/>
          <w:color w:val="000000"/>
          <w:sz w:val="24"/>
        </w:rPr>
        <w:t>证券代码：</w:t>
      </w:r>
      <w:r>
        <w:rPr>
          <w:rFonts w:ascii="宋体" w:hAnsi="宋体"/>
          <w:iCs/>
          <w:color w:val="000000"/>
          <w:sz w:val="24"/>
        </w:rPr>
        <w:t>603049</w:t>
      </w:r>
      <w:r>
        <w:rPr>
          <w:rFonts w:ascii="宋体" w:hAnsi="宋体" w:hint="eastAsia"/>
          <w:iCs/>
          <w:color w:val="000000"/>
          <w:sz w:val="24"/>
        </w:rPr>
        <w:t xml:space="preserve">                                         证券简称：中策橡胶</w:t>
      </w:r>
    </w:p>
    <w:p w14:paraId="3170B603" w14:textId="77777777" w:rsidR="00BD774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中策橡胶集团</w:t>
      </w:r>
      <w:r>
        <w:rPr>
          <w:rFonts w:ascii="宋体" w:hAnsi="宋体"/>
          <w:b/>
          <w:bCs/>
          <w:iCs/>
          <w:color w:val="000000"/>
          <w:sz w:val="32"/>
          <w:szCs w:val="32"/>
        </w:rPr>
        <w:t>股份有限公司</w:t>
      </w:r>
    </w:p>
    <w:p w14:paraId="0230F113" w14:textId="77777777" w:rsidR="00BD774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bookmarkStart w:id="0" w:name="OLE_LINK1"/>
      <w:bookmarkStart w:id="1" w:name="OLE_LINK2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159"/>
      </w:tblGrid>
      <w:tr w:rsidR="00BD7742" w14:paraId="45E17BF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2880DD9E" w14:textId="77777777" w:rsidR="00BD7742" w:rsidRDefault="00000000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投资者关系活动类别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7B8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特定对象调研   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分析师会议</w:t>
            </w:r>
          </w:p>
          <w:p w14:paraId="6057F342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媒体采访            </w:t>
            </w:r>
            <w:r>
              <w:rPr>
                <w:rFonts w:ascii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 xml:space="preserve"> 业绩说明会</w:t>
            </w:r>
          </w:p>
          <w:p w14:paraId="64A2EF4C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新闻发布会     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路演活动</w:t>
            </w:r>
          </w:p>
          <w:p w14:paraId="4360C6D3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现场参观</w:t>
            </w:r>
            <w:r>
              <w:rPr>
                <w:rFonts w:ascii="宋体" w:hAnsi="宋体" w:cs="宋体" w:hint="eastAsia"/>
                <w:sz w:val="24"/>
              </w:rPr>
              <w:tab/>
            </w:r>
          </w:p>
          <w:p w14:paraId="2DBBA568" w14:textId="77777777" w:rsidR="00BD7742" w:rsidRDefault="00000000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其他</w:t>
            </w:r>
          </w:p>
        </w:tc>
      </w:tr>
      <w:tr w:rsidR="00BD7742" w14:paraId="0C73BF8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C6B" w14:textId="77777777" w:rsidR="00BD7742" w:rsidRDefault="00000000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参与单位名称及人员姓名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B0D" w14:textId="77777777" w:rsidR="00BD7742" w:rsidRDefault="00000000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线上参与公司2025年度暨2026年一季度业绩说明会的投资者</w:t>
            </w:r>
          </w:p>
        </w:tc>
      </w:tr>
      <w:tr w:rsidR="00BD7742" w14:paraId="187E054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F21" w14:textId="77777777" w:rsidR="00BD7742" w:rsidRDefault="00000000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F94" w14:textId="77777777" w:rsidR="00BD7742" w:rsidRDefault="00000000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2026年5月22日(周五) 下午 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5:00-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7:00</w:t>
            </w:r>
          </w:p>
        </w:tc>
      </w:tr>
      <w:tr w:rsidR="00BD7742" w14:paraId="668590F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456" w14:textId="77777777" w:rsidR="00BD7742" w:rsidRDefault="00000000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地点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808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价值在线（https://www.ir-online.cn/）视频录播结合网络文字互动方式</w:t>
            </w:r>
          </w:p>
        </w:tc>
      </w:tr>
      <w:tr w:rsidR="00BD7742" w14:paraId="779F0A2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19E" w14:textId="77777777" w:rsidR="00BD7742" w:rsidRDefault="00000000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上市公司接待人员姓名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66D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董事长兼总经理      沈金荣</w:t>
            </w:r>
          </w:p>
          <w:p w14:paraId="5BE9FE51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独立董事            刘海宁</w:t>
            </w:r>
          </w:p>
          <w:p w14:paraId="7292D97C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副总经理兼财务总监  徐利达</w:t>
            </w:r>
          </w:p>
          <w:p w14:paraId="302B477D" w14:textId="77777777" w:rsidR="00BD7742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         叶  松</w:t>
            </w:r>
          </w:p>
        </w:tc>
      </w:tr>
      <w:tr w:rsidR="00BD7742" w14:paraId="5A53294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968" w14:textId="77777777" w:rsidR="00BD7742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683" w14:textId="77777777" w:rsidR="00BD7742" w:rsidRP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1、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尊敬的沈总，中策橡胶在您的带领下取得了巨大的成功，</w:t>
            </w:r>
            <w:proofErr w:type="gramStart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就营收</w:t>
            </w:r>
            <w:proofErr w:type="gramEnd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和产品品质来讲，已经是国内当之无愧的龙头公司！我想请问的是，公司下一步，如何从产品型公司向品牌型公司跃升，如何在全世界消费者心中塑造品牌形象，打造朝阳轮胎自己的“米其林娃娃”，只要一说到朝阳轮胎消费者心中就有一个清晰的品牌图像。就我的理解来讲，这是公司发展壮大</w:t>
            </w:r>
            <w:proofErr w:type="gramStart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很</w:t>
            </w:r>
            <w:proofErr w:type="gramEnd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关键的一步！</w:t>
            </w:r>
          </w:p>
          <w:p w14:paraId="698F367B" w14:textId="7777777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非常感谢您对公司的认可与关注，公司始终将品牌建设作为核心战略，下一步将从多个维度推进：第一，发挥渠道优势，筑牢品牌根基。公司目前已形成覆盖全国县级区域、远销全球近160个国家和地区的营销网络，后续将依托国内替换市场的优势，逐步向全球市场渗透品牌影响力。第二，紧抓新能源汽车出海的历史性机遇，实现品牌跃升。公司当前已经成为比亚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迪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、小鹏、零跑、吉利等国内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新能源车企的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核心原配轮胎供应商，接下来将深度绑定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新能源车企出海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浪潮，依托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民族车企出海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的发展红利，跟随整车品牌同步拓展全球市场。第三，丰富品牌传播方式，扩大品牌影响力。公司在传统体育赛事赞助、展会参与、广告投放</w:t>
            </w:r>
            <w:r w:rsidRPr="000E1E43">
              <w:rPr>
                <w:rFonts w:ascii="宋体" w:hAnsi="宋体" w:hint="eastAsia"/>
                <w:sz w:val="24"/>
                <w:szCs w:val="24"/>
              </w:rPr>
              <w:lastRenderedPageBreak/>
              <w:t>等品牌推广方式的基础上，将进一步利用新媒体、达人种草等新型传播方式，打造贴合品牌定位的传播内容。感谢您的关注！</w:t>
            </w:r>
          </w:p>
          <w:p w14:paraId="131896F9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</w:p>
          <w:p w14:paraId="4582F813" w14:textId="77777777" w:rsidR="000E1E43" w:rsidRP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2、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请问目前泰国，印尼基地的产能及创收如何？越南基地是基于什么原因东南亚再次建场？墨西哥工厂目前进展如何？另外企业目前有否进军f1的想法，成为世界一级方程式赛车的唯一轮胎供货商，谢谢</w:t>
            </w:r>
          </w:p>
          <w:p w14:paraId="7816E76D" w14:textId="7777777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!2025年度，公司泰国基地实现营业收入74.66亿元人民币，印尼基地实现营业收入11.31亿元，目前公司正大力推进泰国及印尼基地的扩产工作。越南基地主要凭借越南的制造成本优势及针对部分市场的自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贸协议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优势，为公司全球供应提供新的解决方案。墨西哥基地已完成土地平整。公司目前尚未向F1赛车车队供应轮胎产品。感谢您的关注!</w:t>
            </w:r>
          </w:p>
          <w:p w14:paraId="59F515DC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41334003" w14:textId="77777777" w:rsidR="000E1E43" w:rsidRP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公司发展前景，市值维护等叙述，说明</w:t>
            </w:r>
          </w:p>
          <w:p w14:paraId="4963F7D7" w14:textId="77777777" w:rsidR="000E1E43" w:rsidRP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公司作为我国销售规模最大的轮胎制造企业之一，目前已构建覆盖全品类的产品布局。当前全球轮胎行业竞争格局呈现“东升西降”的重构趋势，中国新能源汽车产业的崛起也为本土轮胎企业打开了新增量空间。公司制造能力符合行业高性能、绿色化、智能化的发展趋势，随着全球消费者对中国轮胎认可度不断提升，叠加公司境内外产能的持续投资，公司收入及销量仍有较大增长空间。公司长期以引领中国轮胎行业赶超式发展为己任，向着全球轮胎企业第一梯队进发。</w:t>
            </w:r>
          </w:p>
          <w:p w14:paraId="449889FF" w14:textId="7777777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0E1E43">
              <w:rPr>
                <w:rFonts w:ascii="宋体" w:hAnsi="宋体" w:hint="eastAsia"/>
                <w:sz w:val="24"/>
                <w:szCs w:val="24"/>
              </w:rPr>
              <w:t>在市值维护方面，公司始终高度重视投资者回报与市值管理工作，已制定《股票上市后三年内公司股价稳定预案》《市值管理制度》等制度文件。公司建立了长期稳定可持续的股东回报机制，也会持续加强市值管理相关工作，做好投资者沟通交流，传递公司投资价值，增进市场对公司的价值认同。感谢您的关注!</w:t>
            </w:r>
          </w:p>
          <w:p w14:paraId="400E8557" w14:textId="7777777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7D1FC478" w14:textId="2ABCDDD4" w:rsidR="000E1E43" w:rsidRP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4、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请问当前公司向欧美市场销售，能够实现完全由海外工厂发货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么？如果不能的话，本土发货是否面临高额关税或反倾销税。谢谢</w:t>
            </w:r>
          </w:p>
          <w:p w14:paraId="6CA4063E" w14:textId="7777777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尊敬的投资者，您好!目前公司已有泰国、印尼两个投产的海外基地，对于存在高额关税及高额反倾销税、反补贴税的产品品类，公司海外基地产能可以供应欧美市场需求。感谢您的关注!</w:t>
            </w:r>
          </w:p>
          <w:p w14:paraId="1EBC7D2E" w14:textId="7777777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41E725C8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5、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石油涨价对公司影响如何？</w:t>
            </w:r>
          </w:p>
          <w:p w14:paraId="2AB77C33" w14:textId="6DC046EB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3月由于石油涨价，带动公司部分涉油原材料价格上升，但近期随着油价涨幅趋缓，该部分原材料整体价格相对平稳。面对成本压力，公司已对产品售价进行了相应的涨价调整。感谢您的关注！</w:t>
            </w:r>
          </w:p>
          <w:p w14:paraId="55EEE210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E60DC2" w14:textId="228B1BC8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、请问欧洲对中国半钢</w:t>
            </w:r>
            <w:proofErr w:type="gramStart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胎双反出裁</w:t>
            </w:r>
            <w:proofErr w:type="gramEnd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税率公布后，海外基地的订单情况如何</w:t>
            </w:r>
          </w:p>
          <w:p w14:paraId="28AA9DD3" w14:textId="2E131F40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尊敬的投资者，您好！目前公司海外基地订单饱满，公司正大力推进泰国、印尼两个海外基地的产能提升工作。感谢您的关注！</w:t>
            </w:r>
          </w:p>
          <w:p w14:paraId="2DDF7656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70CB8CC4" w14:textId="19B2E81C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、国内基地半钢</w:t>
            </w:r>
            <w:proofErr w:type="gramStart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胎</w:t>
            </w:r>
            <w:proofErr w:type="gramEnd"/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产能利用率情况如何？</w:t>
            </w:r>
          </w:p>
          <w:p w14:paraId="4BE43F00" w14:textId="23D794F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尊敬的投资者，您好！公司半钢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胎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产品市场需求情况良好，公司各基地2023年以来均保持接近满负荷的半钢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胎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产能利用率。感谢您的关注！</w:t>
            </w:r>
          </w:p>
          <w:p w14:paraId="3904AA88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030EF0A9" w14:textId="0FA915EC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、海外产能的两次涨价落地情况如何，能否覆盖成本上涨的影响</w:t>
            </w:r>
          </w:p>
          <w:p w14:paraId="6F334148" w14:textId="04FEB367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公司长期专注于轮胎行业，拥有化解成本压力的丰富经验与多种手段。公司正通过产品涨价、调整产品结构、提高生产效率等多种方式应对原材料价格上涨的成本压力，成本上涨对公司经营业绩的影响可控。感谢您的关注！</w:t>
            </w:r>
          </w:p>
          <w:p w14:paraId="267DB1E1" w14:textId="77777777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1785AA63" w14:textId="6C947B14" w:rsidR="000E1E43" w:rsidRDefault="000E1E43" w:rsidP="000E1E43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</w:t>
            </w:r>
            <w:r w:rsidRPr="000E1E43">
              <w:rPr>
                <w:rFonts w:ascii="宋体" w:hAnsi="宋体" w:hint="eastAsia"/>
                <w:b/>
                <w:bCs/>
                <w:sz w:val="24"/>
                <w:szCs w:val="24"/>
              </w:rPr>
              <w:t>、如何看待6月份大规模解禁，股东如果看好公司，有没有不减持的公告？</w:t>
            </w:r>
          </w:p>
          <w:p w14:paraId="42843920" w14:textId="34B2D91D" w:rsidR="000E1E43" w:rsidRDefault="000E1E43" w:rsidP="000E1E43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回复：</w:t>
            </w:r>
            <w:r w:rsidRPr="000E1E43">
              <w:rPr>
                <w:rFonts w:ascii="宋体" w:hAnsi="宋体" w:hint="eastAsia"/>
                <w:sz w:val="24"/>
                <w:szCs w:val="24"/>
              </w:rPr>
              <w:t>尊敬的投资者，您好！截至目前，公司</w:t>
            </w:r>
            <w:proofErr w:type="gramStart"/>
            <w:r w:rsidRPr="000E1E43">
              <w:rPr>
                <w:rFonts w:ascii="宋体" w:hAnsi="宋体" w:hint="eastAsia"/>
                <w:sz w:val="24"/>
                <w:szCs w:val="24"/>
              </w:rPr>
              <w:t>董秘办尚未</w:t>
            </w:r>
            <w:proofErr w:type="gramEnd"/>
            <w:r w:rsidRPr="000E1E43">
              <w:rPr>
                <w:rFonts w:ascii="宋体" w:hAnsi="宋体" w:hint="eastAsia"/>
                <w:sz w:val="24"/>
                <w:szCs w:val="24"/>
              </w:rPr>
              <w:t>收到公司主要股东关于减持意向的通知，后续具体情况请关注公司公告。感谢您的关注！</w:t>
            </w:r>
          </w:p>
        </w:tc>
      </w:tr>
      <w:tr w:rsidR="00BD7742" w14:paraId="0124EC8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EF8" w14:textId="77777777" w:rsidR="00BD7742" w:rsidRDefault="00000000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DAA" w14:textId="77777777" w:rsidR="00BD7742" w:rsidRDefault="00000000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BD7742" w14:paraId="16FF7D3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E63" w14:textId="77777777" w:rsidR="00BD774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9F6" w14:textId="77777777" w:rsidR="00BD7742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134E8C36" w14:textId="77777777" w:rsidR="00BD7742" w:rsidRDefault="00BD7742"/>
    <w:sectPr w:rsidR="00BD7742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B682" w14:textId="77777777" w:rsidR="00BB7149" w:rsidRDefault="00BB7149">
      <w:r>
        <w:separator/>
      </w:r>
    </w:p>
  </w:endnote>
  <w:endnote w:type="continuationSeparator" w:id="0">
    <w:p w14:paraId="6CFDE056" w14:textId="77777777" w:rsidR="00BB7149" w:rsidRDefault="00BB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B37" w14:textId="77777777" w:rsidR="00BD7742" w:rsidRDefault="00BD774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1231" w14:textId="77777777" w:rsidR="00BB7149" w:rsidRDefault="00BB7149">
      <w:r>
        <w:separator/>
      </w:r>
    </w:p>
  </w:footnote>
  <w:footnote w:type="continuationSeparator" w:id="0">
    <w:p w14:paraId="32F160C8" w14:textId="77777777" w:rsidR="00BB7149" w:rsidRDefault="00BB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9B57" w14:textId="77777777" w:rsidR="00BD7742" w:rsidRDefault="00BD7742">
    <w:pPr>
      <w:pStyle w:val="a9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57B7"/>
    <w:multiLevelType w:val="multilevel"/>
    <w:tmpl w:val="361E57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5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13D9"/>
    <w:rsid w:val="000268C0"/>
    <w:rsid w:val="00034DEF"/>
    <w:rsid w:val="000363B5"/>
    <w:rsid w:val="000375D7"/>
    <w:rsid w:val="00043015"/>
    <w:rsid w:val="00046DDE"/>
    <w:rsid w:val="00047EB9"/>
    <w:rsid w:val="00060A74"/>
    <w:rsid w:val="00067110"/>
    <w:rsid w:val="00073CB8"/>
    <w:rsid w:val="00090A08"/>
    <w:rsid w:val="0009298A"/>
    <w:rsid w:val="000A2808"/>
    <w:rsid w:val="000A3BAC"/>
    <w:rsid w:val="000C26FD"/>
    <w:rsid w:val="000C2D85"/>
    <w:rsid w:val="000E1E43"/>
    <w:rsid w:val="000E5700"/>
    <w:rsid w:val="000F0C4B"/>
    <w:rsid w:val="000F0E22"/>
    <w:rsid w:val="00101D95"/>
    <w:rsid w:val="00105A04"/>
    <w:rsid w:val="001169A9"/>
    <w:rsid w:val="00125EB2"/>
    <w:rsid w:val="00142A4C"/>
    <w:rsid w:val="00144279"/>
    <w:rsid w:val="001452FF"/>
    <w:rsid w:val="001514AB"/>
    <w:rsid w:val="00164F36"/>
    <w:rsid w:val="0016617A"/>
    <w:rsid w:val="00167E99"/>
    <w:rsid w:val="0017500C"/>
    <w:rsid w:val="0017636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0810"/>
    <w:rsid w:val="00251D58"/>
    <w:rsid w:val="002530EE"/>
    <w:rsid w:val="002549E6"/>
    <w:rsid w:val="00256602"/>
    <w:rsid w:val="00271C8D"/>
    <w:rsid w:val="00273B53"/>
    <w:rsid w:val="0028080C"/>
    <w:rsid w:val="00295257"/>
    <w:rsid w:val="0029673E"/>
    <w:rsid w:val="00297703"/>
    <w:rsid w:val="002A0826"/>
    <w:rsid w:val="002A0984"/>
    <w:rsid w:val="002A589B"/>
    <w:rsid w:val="002A5CE1"/>
    <w:rsid w:val="002B1184"/>
    <w:rsid w:val="002B71B8"/>
    <w:rsid w:val="002B7469"/>
    <w:rsid w:val="002C22C6"/>
    <w:rsid w:val="002C23FC"/>
    <w:rsid w:val="002C6568"/>
    <w:rsid w:val="002C723B"/>
    <w:rsid w:val="002D2151"/>
    <w:rsid w:val="002D39BC"/>
    <w:rsid w:val="002D5E38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5769"/>
    <w:rsid w:val="00417A31"/>
    <w:rsid w:val="0042004B"/>
    <w:rsid w:val="00430E98"/>
    <w:rsid w:val="00433384"/>
    <w:rsid w:val="0043777D"/>
    <w:rsid w:val="0045767F"/>
    <w:rsid w:val="00463E9B"/>
    <w:rsid w:val="00467414"/>
    <w:rsid w:val="004713D3"/>
    <w:rsid w:val="00473F30"/>
    <w:rsid w:val="0048591A"/>
    <w:rsid w:val="00486D86"/>
    <w:rsid w:val="0048721A"/>
    <w:rsid w:val="004A0BD5"/>
    <w:rsid w:val="004A1BBF"/>
    <w:rsid w:val="004A73E5"/>
    <w:rsid w:val="004B63DB"/>
    <w:rsid w:val="004C19BF"/>
    <w:rsid w:val="004D7640"/>
    <w:rsid w:val="004E1A9B"/>
    <w:rsid w:val="00500AB6"/>
    <w:rsid w:val="005155FB"/>
    <w:rsid w:val="00523907"/>
    <w:rsid w:val="00533D7F"/>
    <w:rsid w:val="00537C53"/>
    <w:rsid w:val="005438F5"/>
    <w:rsid w:val="00544901"/>
    <w:rsid w:val="005474D3"/>
    <w:rsid w:val="00550737"/>
    <w:rsid w:val="00553C89"/>
    <w:rsid w:val="00555DD2"/>
    <w:rsid w:val="00565ED9"/>
    <w:rsid w:val="005760C6"/>
    <w:rsid w:val="00576EF6"/>
    <w:rsid w:val="00585A1B"/>
    <w:rsid w:val="00591260"/>
    <w:rsid w:val="00591314"/>
    <w:rsid w:val="00591997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D7384"/>
    <w:rsid w:val="005E2B4B"/>
    <w:rsid w:val="005E5F63"/>
    <w:rsid w:val="005E6BA1"/>
    <w:rsid w:val="0060779A"/>
    <w:rsid w:val="00617A62"/>
    <w:rsid w:val="00622F13"/>
    <w:rsid w:val="00625503"/>
    <w:rsid w:val="0062662D"/>
    <w:rsid w:val="00632E78"/>
    <w:rsid w:val="006344F1"/>
    <w:rsid w:val="00637186"/>
    <w:rsid w:val="00641810"/>
    <w:rsid w:val="00645D80"/>
    <w:rsid w:val="00646DF4"/>
    <w:rsid w:val="006475A8"/>
    <w:rsid w:val="00651DE6"/>
    <w:rsid w:val="006523BB"/>
    <w:rsid w:val="00652928"/>
    <w:rsid w:val="0065347E"/>
    <w:rsid w:val="00654B49"/>
    <w:rsid w:val="00662505"/>
    <w:rsid w:val="00664538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B7EA0"/>
    <w:rsid w:val="006C6BC5"/>
    <w:rsid w:val="006D61A2"/>
    <w:rsid w:val="006E1DB4"/>
    <w:rsid w:val="0070626E"/>
    <w:rsid w:val="00707D30"/>
    <w:rsid w:val="00714059"/>
    <w:rsid w:val="00716833"/>
    <w:rsid w:val="00726DC9"/>
    <w:rsid w:val="00753DB6"/>
    <w:rsid w:val="00755BE8"/>
    <w:rsid w:val="00763847"/>
    <w:rsid w:val="00771FE3"/>
    <w:rsid w:val="00776BDE"/>
    <w:rsid w:val="007816EC"/>
    <w:rsid w:val="00786870"/>
    <w:rsid w:val="00792237"/>
    <w:rsid w:val="0079272A"/>
    <w:rsid w:val="007A1DA9"/>
    <w:rsid w:val="007B2252"/>
    <w:rsid w:val="007B79D9"/>
    <w:rsid w:val="007C67B1"/>
    <w:rsid w:val="007D3272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193F"/>
    <w:rsid w:val="00864202"/>
    <w:rsid w:val="00873B59"/>
    <w:rsid w:val="0087701F"/>
    <w:rsid w:val="00882A96"/>
    <w:rsid w:val="0089283D"/>
    <w:rsid w:val="00893108"/>
    <w:rsid w:val="008A0ADC"/>
    <w:rsid w:val="008A1BAB"/>
    <w:rsid w:val="008B38B7"/>
    <w:rsid w:val="008B458E"/>
    <w:rsid w:val="008C4D4A"/>
    <w:rsid w:val="008D14CC"/>
    <w:rsid w:val="008E11AE"/>
    <w:rsid w:val="008E1708"/>
    <w:rsid w:val="008E1E3A"/>
    <w:rsid w:val="008E4844"/>
    <w:rsid w:val="009007CF"/>
    <w:rsid w:val="00904492"/>
    <w:rsid w:val="00904DFB"/>
    <w:rsid w:val="0091457B"/>
    <w:rsid w:val="00923763"/>
    <w:rsid w:val="00930C19"/>
    <w:rsid w:val="00930ED6"/>
    <w:rsid w:val="0093293F"/>
    <w:rsid w:val="00933105"/>
    <w:rsid w:val="00944147"/>
    <w:rsid w:val="009474EF"/>
    <w:rsid w:val="00962626"/>
    <w:rsid w:val="00975657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05010"/>
    <w:rsid w:val="00A13CB6"/>
    <w:rsid w:val="00A14A1A"/>
    <w:rsid w:val="00A22CDD"/>
    <w:rsid w:val="00A25AEE"/>
    <w:rsid w:val="00A316DA"/>
    <w:rsid w:val="00A31EB1"/>
    <w:rsid w:val="00A33AEA"/>
    <w:rsid w:val="00A3668F"/>
    <w:rsid w:val="00A43D62"/>
    <w:rsid w:val="00A461CD"/>
    <w:rsid w:val="00A469C5"/>
    <w:rsid w:val="00A47093"/>
    <w:rsid w:val="00A5317D"/>
    <w:rsid w:val="00A60C3F"/>
    <w:rsid w:val="00A6284E"/>
    <w:rsid w:val="00A63E81"/>
    <w:rsid w:val="00A8775A"/>
    <w:rsid w:val="00AA5998"/>
    <w:rsid w:val="00AB054B"/>
    <w:rsid w:val="00AB07E7"/>
    <w:rsid w:val="00AD1BA8"/>
    <w:rsid w:val="00AD760F"/>
    <w:rsid w:val="00AE49A4"/>
    <w:rsid w:val="00B02A29"/>
    <w:rsid w:val="00B03522"/>
    <w:rsid w:val="00B04AD6"/>
    <w:rsid w:val="00B14CAA"/>
    <w:rsid w:val="00B257CE"/>
    <w:rsid w:val="00B377C1"/>
    <w:rsid w:val="00B4537C"/>
    <w:rsid w:val="00B4746C"/>
    <w:rsid w:val="00B65354"/>
    <w:rsid w:val="00B7089E"/>
    <w:rsid w:val="00B71A0E"/>
    <w:rsid w:val="00B80C24"/>
    <w:rsid w:val="00B81765"/>
    <w:rsid w:val="00B832F5"/>
    <w:rsid w:val="00BA2FAB"/>
    <w:rsid w:val="00BB5E28"/>
    <w:rsid w:val="00BB7149"/>
    <w:rsid w:val="00BC0E76"/>
    <w:rsid w:val="00BC7AD1"/>
    <w:rsid w:val="00BD15F3"/>
    <w:rsid w:val="00BD7742"/>
    <w:rsid w:val="00BD7986"/>
    <w:rsid w:val="00BD79D3"/>
    <w:rsid w:val="00C0144F"/>
    <w:rsid w:val="00C04F82"/>
    <w:rsid w:val="00C15AC0"/>
    <w:rsid w:val="00C26030"/>
    <w:rsid w:val="00C41091"/>
    <w:rsid w:val="00C45222"/>
    <w:rsid w:val="00C63056"/>
    <w:rsid w:val="00C661D1"/>
    <w:rsid w:val="00C73E0A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1004"/>
    <w:rsid w:val="00D512E3"/>
    <w:rsid w:val="00D602C9"/>
    <w:rsid w:val="00D659D1"/>
    <w:rsid w:val="00DA26A9"/>
    <w:rsid w:val="00DB01FF"/>
    <w:rsid w:val="00DC7778"/>
    <w:rsid w:val="00DE7391"/>
    <w:rsid w:val="00DF2DB5"/>
    <w:rsid w:val="00DF361E"/>
    <w:rsid w:val="00DF6560"/>
    <w:rsid w:val="00E01BDA"/>
    <w:rsid w:val="00E04CC0"/>
    <w:rsid w:val="00E136FF"/>
    <w:rsid w:val="00E32528"/>
    <w:rsid w:val="00E35F26"/>
    <w:rsid w:val="00E51C50"/>
    <w:rsid w:val="00E53165"/>
    <w:rsid w:val="00E61EF7"/>
    <w:rsid w:val="00E663B4"/>
    <w:rsid w:val="00E80CEB"/>
    <w:rsid w:val="00E971F4"/>
    <w:rsid w:val="00EA5103"/>
    <w:rsid w:val="00EA6FB9"/>
    <w:rsid w:val="00EB5E6A"/>
    <w:rsid w:val="00EC2AD7"/>
    <w:rsid w:val="00ED7DE0"/>
    <w:rsid w:val="00EE3956"/>
    <w:rsid w:val="00EE7891"/>
    <w:rsid w:val="00EF49FE"/>
    <w:rsid w:val="00EF5341"/>
    <w:rsid w:val="00F04908"/>
    <w:rsid w:val="00F07C21"/>
    <w:rsid w:val="00F12EF6"/>
    <w:rsid w:val="00F21065"/>
    <w:rsid w:val="00F24311"/>
    <w:rsid w:val="00F24CB4"/>
    <w:rsid w:val="00F26C30"/>
    <w:rsid w:val="00F43465"/>
    <w:rsid w:val="00F45475"/>
    <w:rsid w:val="00F64E72"/>
    <w:rsid w:val="00F70C7D"/>
    <w:rsid w:val="00F9272E"/>
    <w:rsid w:val="00F95565"/>
    <w:rsid w:val="00F97743"/>
    <w:rsid w:val="00FA6DAF"/>
    <w:rsid w:val="00FC6884"/>
    <w:rsid w:val="00FE62F3"/>
    <w:rsid w:val="00FF71D2"/>
    <w:rsid w:val="03872335"/>
    <w:rsid w:val="04CD4E0D"/>
    <w:rsid w:val="05F30D52"/>
    <w:rsid w:val="07E84685"/>
    <w:rsid w:val="07F43921"/>
    <w:rsid w:val="08582CB3"/>
    <w:rsid w:val="08964C8B"/>
    <w:rsid w:val="08E5231F"/>
    <w:rsid w:val="099B29F9"/>
    <w:rsid w:val="09E87633"/>
    <w:rsid w:val="0A63192C"/>
    <w:rsid w:val="0C493B9B"/>
    <w:rsid w:val="0C93758E"/>
    <w:rsid w:val="0D4D0B5F"/>
    <w:rsid w:val="0D837D9E"/>
    <w:rsid w:val="0E1D5BD4"/>
    <w:rsid w:val="0E207A31"/>
    <w:rsid w:val="0F20786F"/>
    <w:rsid w:val="10A61842"/>
    <w:rsid w:val="13C4450D"/>
    <w:rsid w:val="141B6967"/>
    <w:rsid w:val="169C7F0D"/>
    <w:rsid w:val="17B1375A"/>
    <w:rsid w:val="17B3729E"/>
    <w:rsid w:val="18893D8F"/>
    <w:rsid w:val="18D93A98"/>
    <w:rsid w:val="1A117BE6"/>
    <w:rsid w:val="1B2418A5"/>
    <w:rsid w:val="1C633AFD"/>
    <w:rsid w:val="1E6E3573"/>
    <w:rsid w:val="1EDF7D66"/>
    <w:rsid w:val="1FBFC074"/>
    <w:rsid w:val="204B02F6"/>
    <w:rsid w:val="2052439D"/>
    <w:rsid w:val="241C2252"/>
    <w:rsid w:val="24E80350"/>
    <w:rsid w:val="26C339D5"/>
    <w:rsid w:val="2733348E"/>
    <w:rsid w:val="27E94D39"/>
    <w:rsid w:val="27FC492A"/>
    <w:rsid w:val="28B03A1C"/>
    <w:rsid w:val="2B620922"/>
    <w:rsid w:val="2BA7533C"/>
    <w:rsid w:val="2C253D8E"/>
    <w:rsid w:val="2E256BC7"/>
    <w:rsid w:val="2FF91C3F"/>
    <w:rsid w:val="31B85A3E"/>
    <w:rsid w:val="31F54A45"/>
    <w:rsid w:val="31FD161E"/>
    <w:rsid w:val="32384404"/>
    <w:rsid w:val="327645E7"/>
    <w:rsid w:val="32CC663E"/>
    <w:rsid w:val="32DF2AD1"/>
    <w:rsid w:val="33645CC3"/>
    <w:rsid w:val="3488335F"/>
    <w:rsid w:val="34FD33C1"/>
    <w:rsid w:val="359B46F3"/>
    <w:rsid w:val="35B61405"/>
    <w:rsid w:val="35DC7F6D"/>
    <w:rsid w:val="36FB9E1F"/>
    <w:rsid w:val="381D5949"/>
    <w:rsid w:val="38DA69D3"/>
    <w:rsid w:val="39C443D2"/>
    <w:rsid w:val="3AE95412"/>
    <w:rsid w:val="3B583D69"/>
    <w:rsid w:val="3BFA3B96"/>
    <w:rsid w:val="3CEF3472"/>
    <w:rsid w:val="3E4405D4"/>
    <w:rsid w:val="3EFF16E9"/>
    <w:rsid w:val="419210A2"/>
    <w:rsid w:val="42024A2E"/>
    <w:rsid w:val="422C1AAB"/>
    <w:rsid w:val="42764AD5"/>
    <w:rsid w:val="43FB5176"/>
    <w:rsid w:val="448156A1"/>
    <w:rsid w:val="44F00B6E"/>
    <w:rsid w:val="450A4511"/>
    <w:rsid w:val="46947ED0"/>
    <w:rsid w:val="490B575C"/>
    <w:rsid w:val="4E2F3499"/>
    <w:rsid w:val="4EBA27E3"/>
    <w:rsid w:val="4F9323C9"/>
    <w:rsid w:val="51F4195F"/>
    <w:rsid w:val="54994F4D"/>
    <w:rsid w:val="56611B3C"/>
    <w:rsid w:val="56D604B0"/>
    <w:rsid w:val="57AA7B05"/>
    <w:rsid w:val="57E4165B"/>
    <w:rsid w:val="581157B6"/>
    <w:rsid w:val="592C42F5"/>
    <w:rsid w:val="5A61633E"/>
    <w:rsid w:val="5AC468CD"/>
    <w:rsid w:val="5CBC0AC3"/>
    <w:rsid w:val="5CD76845"/>
    <w:rsid w:val="5D3A0B7D"/>
    <w:rsid w:val="5D464695"/>
    <w:rsid w:val="5DAE4E34"/>
    <w:rsid w:val="5DD82899"/>
    <w:rsid w:val="5FE72FC9"/>
    <w:rsid w:val="601257DB"/>
    <w:rsid w:val="61D01DD2"/>
    <w:rsid w:val="623B7475"/>
    <w:rsid w:val="64BA262A"/>
    <w:rsid w:val="653A410A"/>
    <w:rsid w:val="657E5B22"/>
    <w:rsid w:val="66AA5270"/>
    <w:rsid w:val="66B27F22"/>
    <w:rsid w:val="683A2C86"/>
    <w:rsid w:val="68751207"/>
    <w:rsid w:val="68D56618"/>
    <w:rsid w:val="6A5538CC"/>
    <w:rsid w:val="6ADE0725"/>
    <w:rsid w:val="6BFA733C"/>
    <w:rsid w:val="6E072310"/>
    <w:rsid w:val="70236471"/>
    <w:rsid w:val="71333506"/>
    <w:rsid w:val="718D24AC"/>
    <w:rsid w:val="71905711"/>
    <w:rsid w:val="728B6EC5"/>
    <w:rsid w:val="734E202F"/>
    <w:rsid w:val="74677B2C"/>
    <w:rsid w:val="74E03D43"/>
    <w:rsid w:val="75760AE5"/>
    <w:rsid w:val="759F5B15"/>
    <w:rsid w:val="77CF73AC"/>
    <w:rsid w:val="78FF0116"/>
    <w:rsid w:val="79B24925"/>
    <w:rsid w:val="7A151680"/>
    <w:rsid w:val="7B166879"/>
    <w:rsid w:val="7C656439"/>
    <w:rsid w:val="7DD84285"/>
    <w:rsid w:val="7E151B8C"/>
    <w:rsid w:val="7E7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8B508"/>
  <w15:docId w15:val="{8D68E146-C7E0-4D95-A60D-7F40B779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character" w:styleId="ae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343</Words>
  <Characters>1957</Characters>
  <Application>Microsoft Office Word</Application>
  <DocSecurity>0</DocSecurity>
  <Lines>16</Lines>
  <Paragraphs>4</Paragraphs>
  <ScaleCrop>false</ScaleCrop>
  <Company>微软中国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Louie</dc:creator>
  <cp:lastModifiedBy>周易</cp:lastModifiedBy>
  <cp:revision>12</cp:revision>
  <cp:lastPrinted>2014-02-21T05:34:00Z</cp:lastPrinted>
  <dcterms:created xsi:type="dcterms:W3CDTF">2025-07-07T03:23:00Z</dcterms:created>
  <dcterms:modified xsi:type="dcterms:W3CDTF">2026-05-22T09:05:00Z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63E994641795482EB31920201F11D1FB_13</vt:lpwstr>
  </property>
  <property fmtid="{D5CDD505-2E9C-101B-9397-08002B2CF9AE}" pid="4" name="KSOTemplateDocerSaveRecord">
    <vt:lpwstr>eyJoZGlkIjoiMDYxZWU3MTk4OGU5ZTY2NWNlZTQxOTRkNTc1MGI5YmMiLCJ1c2VySWQiOiI3MDAzMDYyMTAifQ==</vt:lpwstr>
  </property>
</Properties>
</file>