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4DA62">
      <w:pPr>
        <w:spacing w:before="156" w:beforeLines="50" w:after="156" w:afterLines="50" w:line="400" w:lineRule="exact"/>
        <w:jc w:val="center"/>
        <w:rPr>
          <w:rFonts w:ascii="宋体" w:hAnsi="宋体"/>
          <w:b/>
          <w:bCs/>
          <w:iCs/>
          <w:color w:val="000000"/>
          <w:sz w:val="32"/>
          <w:szCs w:val="32"/>
        </w:rPr>
      </w:pPr>
      <w:r>
        <w:rPr>
          <w:rFonts w:ascii="宋体" w:hAnsi="宋体"/>
          <w:b/>
          <w:bCs/>
          <w:iCs/>
          <w:color w:val="000000"/>
          <w:sz w:val="32"/>
          <w:szCs w:val="32"/>
        </w:rPr>
        <w:t>珠海珠免集团股份有限公司</w:t>
      </w:r>
    </w:p>
    <w:p w14:paraId="27497079">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15857C0B">
      <w:pPr>
        <w:spacing w:line="400" w:lineRule="exact"/>
        <w:jc w:val="right"/>
        <w:rPr>
          <w:bCs/>
          <w:iCs/>
          <w:color w:val="000000"/>
          <w:sz w:val="22"/>
          <w:szCs w:val="22"/>
        </w:rPr>
      </w:pPr>
      <w:r>
        <w:rPr>
          <w:rFonts w:hint="eastAsia" w:ascii="宋体" w:hAnsi="宋体"/>
          <w:bCs/>
          <w:iCs/>
          <w:color w:val="000000"/>
          <w:sz w:val="24"/>
        </w:rPr>
        <w:t xml:space="preserve">                                                   </w:t>
      </w:r>
      <w:r>
        <w:rPr>
          <w:bCs/>
          <w:iCs/>
          <w:color w:val="000000"/>
          <w:sz w:val="22"/>
          <w:szCs w:val="22"/>
        </w:rPr>
        <w:t>编号：202</w:t>
      </w:r>
      <w:r>
        <w:rPr>
          <w:rFonts w:hint="eastAsia"/>
          <w:bCs/>
          <w:iCs/>
          <w:color w:val="000000"/>
          <w:sz w:val="22"/>
          <w:szCs w:val="22"/>
        </w:rPr>
        <w:t>6</w:t>
      </w:r>
      <w:r>
        <w:rPr>
          <w:bCs/>
          <w:iCs/>
          <w:color w:val="000000"/>
          <w:sz w:val="22"/>
          <w:szCs w:val="22"/>
        </w:rPr>
        <w:t>-00</w:t>
      </w:r>
      <w:r>
        <w:rPr>
          <w:rFonts w:hint="eastAsia"/>
          <w:bCs/>
          <w:iCs/>
          <w:color w:val="000000"/>
          <w:sz w:val="22"/>
          <w:szCs w:val="22"/>
        </w:rPr>
        <w:t>1</w:t>
      </w:r>
    </w:p>
    <w:tbl>
      <w:tblPr>
        <w:tblStyle w:val="9"/>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607"/>
      </w:tblGrid>
      <w:tr w14:paraId="5813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06E65848">
            <w:pPr>
              <w:spacing w:line="420" w:lineRule="exact"/>
              <w:jc w:val="left"/>
              <w:rPr>
                <w:bCs/>
                <w:iCs/>
                <w:color w:val="000000"/>
                <w:sz w:val="24"/>
              </w:rPr>
            </w:pPr>
            <w:r>
              <w:rPr>
                <w:rFonts w:hAnsi="宋体"/>
                <w:bCs/>
                <w:iCs/>
                <w:color w:val="000000"/>
                <w:kern w:val="0"/>
                <w:sz w:val="24"/>
              </w:rPr>
              <w:t>投资者关系</w:t>
            </w:r>
            <w:r>
              <w:rPr>
                <w:rFonts w:hAnsi="宋体"/>
                <w:bCs/>
                <w:iCs/>
                <w:color w:val="000000"/>
                <w:kern w:val="0"/>
                <w:sz w:val="24"/>
              </w:rPr>
              <w:br w:type="textWrapping"/>
            </w:r>
            <w:r>
              <w:rPr>
                <w:rFonts w:hAnsi="宋体"/>
                <w:bCs/>
                <w:iCs/>
                <w:color w:val="000000"/>
                <w:kern w:val="0"/>
                <w:sz w:val="24"/>
              </w:rPr>
              <w:t>活动类别</w:t>
            </w:r>
          </w:p>
        </w:tc>
        <w:tc>
          <w:tcPr>
            <w:tcW w:w="6607" w:type="dxa"/>
            <w:tcBorders>
              <w:top w:val="single" w:color="auto" w:sz="4" w:space="0"/>
              <w:left w:val="single" w:color="auto" w:sz="4" w:space="0"/>
              <w:bottom w:val="single" w:color="auto" w:sz="4" w:space="0"/>
              <w:right w:val="single" w:color="auto" w:sz="4" w:space="0"/>
            </w:tcBorders>
          </w:tcPr>
          <w:p w14:paraId="3F8EA131">
            <w:pPr>
              <w:spacing w:line="420" w:lineRule="exact"/>
              <w:rPr>
                <w:bCs/>
                <w:iCs/>
                <w:color w:val="000000"/>
                <w:sz w:val="24"/>
              </w:rPr>
            </w:pPr>
            <w:r>
              <w:rPr>
                <w:rFonts w:hint="eastAsia"/>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2339D97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7631364">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97EB37E">
            <w:pPr>
              <w:tabs>
                <w:tab w:val="left" w:pos="3045"/>
                <w:tab w:val="center" w:pos="3199"/>
              </w:tabs>
              <w:spacing w:line="420" w:lineRule="exact"/>
              <w:rPr>
                <w:bCs/>
                <w:iCs/>
                <w:color w:val="000000"/>
                <w:kern w:val="0"/>
                <w:sz w:val="24"/>
              </w:rPr>
            </w:pPr>
            <w:r>
              <w:rPr>
                <w:rFonts w:hint="eastAsia"/>
                <w:bCs/>
                <w:iCs/>
                <w:color w:val="000000"/>
                <w:kern w:val="0"/>
                <w:sz w:val="24"/>
              </w:rPr>
              <w:t xml:space="preserve">☑ </w:t>
            </w:r>
            <w:r>
              <w:rPr>
                <w:rFonts w:hAnsi="宋体"/>
                <w:kern w:val="0"/>
                <w:sz w:val="24"/>
              </w:rPr>
              <w:t>现场参观</w:t>
            </w:r>
          </w:p>
          <w:p w14:paraId="6A5D6303">
            <w:pPr>
              <w:tabs>
                <w:tab w:val="center" w:pos="3199"/>
              </w:tabs>
              <w:spacing w:line="420" w:lineRule="exact"/>
              <w:rPr>
                <w:bCs/>
                <w:iCs/>
                <w:color w:val="000000"/>
                <w:sz w:val="24"/>
              </w:rPr>
            </w:pPr>
            <w:r>
              <w:rPr>
                <w:rFonts w:hint="eastAsia"/>
                <w:bCs/>
                <w:iCs/>
                <w:color w:val="000000"/>
                <w:kern w:val="0"/>
                <w:sz w:val="24"/>
              </w:rPr>
              <w:t xml:space="preserve">☑ </w:t>
            </w:r>
            <w:r>
              <w:rPr>
                <w:rFonts w:hAnsi="宋体"/>
                <w:kern w:val="0"/>
                <w:sz w:val="24"/>
              </w:rPr>
              <w:t>其他</w:t>
            </w:r>
            <w:r>
              <w:rPr>
                <w:kern w:val="0"/>
                <w:sz w:val="24"/>
                <w:u w:val="single"/>
              </w:rPr>
              <w:t xml:space="preserve"> </w:t>
            </w:r>
            <w:r>
              <w:rPr>
                <w:rFonts w:hint="eastAsia"/>
                <w:kern w:val="0"/>
                <w:sz w:val="24"/>
                <w:u w:val="single"/>
              </w:rPr>
              <w:t>线上</w:t>
            </w:r>
            <w:r>
              <w:rPr>
                <w:rFonts w:hint="eastAsia" w:hAnsi="宋体"/>
                <w:kern w:val="0"/>
                <w:sz w:val="24"/>
                <w:u w:val="single"/>
              </w:rPr>
              <w:t>会议</w:t>
            </w:r>
          </w:p>
        </w:tc>
      </w:tr>
      <w:tr w14:paraId="6285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703" w:type="dxa"/>
            <w:tcBorders>
              <w:top w:val="single" w:color="auto" w:sz="4" w:space="0"/>
              <w:left w:val="single" w:color="auto" w:sz="4" w:space="0"/>
              <w:right w:val="single" w:color="auto" w:sz="4" w:space="0"/>
            </w:tcBorders>
            <w:vAlign w:val="center"/>
          </w:tcPr>
          <w:p w14:paraId="08F274F6">
            <w:pPr>
              <w:spacing w:line="420" w:lineRule="exact"/>
              <w:rPr>
                <w:bCs/>
                <w:iCs/>
                <w:color w:val="000000"/>
                <w:kern w:val="0"/>
                <w:sz w:val="24"/>
              </w:rPr>
            </w:pPr>
            <w:r>
              <w:rPr>
                <w:rFonts w:hAnsi="宋体"/>
                <w:bCs/>
                <w:iCs/>
                <w:color w:val="000000"/>
                <w:kern w:val="0"/>
                <w:sz w:val="24"/>
              </w:rPr>
              <w:t>参与单位名称及人员姓名</w:t>
            </w:r>
          </w:p>
        </w:tc>
        <w:tc>
          <w:tcPr>
            <w:tcW w:w="6607" w:type="dxa"/>
            <w:tcBorders>
              <w:top w:val="single" w:color="auto" w:sz="4" w:space="0"/>
              <w:left w:val="single" w:color="auto" w:sz="4" w:space="0"/>
              <w:bottom w:val="single" w:color="auto" w:sz="4" w:space="0"/>
              <w:right w:val="single" w:color="auto" w:sz="4" w:space="0"/>
            </w:tcBorders>
            <w:vAlign w:val="center"/>
          </w:tcPr>
          <w:p w14:paraId="28457B26">
            <w:pPr>
              <w:spacing w:line="420" w:lineRule="exact"/>
              <w:jc w:val="left"/>
              <w:rPr>
                <w:bCs/>
                <w:iCs/>
                <w:color w:val="000000"/>
                <w:sz w:val="24"/>
              </w:rPr>
            </w:pPr>
            <w:r>
              <w:rPr>
                <w:rFonts w:hint="eastAsia"/>
                <w:bCs/>
                <w:iCs/>
                <w:color w:val="000000"/>
                <w:sz w:val="24"/>
              </w:rPr>
              <w:t>长江证券、国泰海通证券、兴业证券、广发证券、天风证券、工银瑞信基金、富国基金、招商基金、博时基金、广发基金等50余家</w:t>
            </w:r>
            <w:r>
              <w:rPr>
                <w:rFonts w:ascii="sans-serif" w:hAnsi="sans-serif" w:eastAsia="sans-serif" w:cs="sans-serif"/>
                <w:sz w:val="24"/>
                <w:shd w:val="clear" w:color="auto" w:fill="FFFFFF"/>
              </w:rPr>
              <w:t>券商分析师</w:t>
            </w:r>
            <w:r>
              <w:rPr>
                <w:rFonts w:hint="eastAsia" w:ascii="sans-serif" w:hAnsi="sans-serif" w:cs="sans-serif"/>
                <w:sz w:val="24"/>
                <w:shd w:val="clear" w:color="auto" w:fill="FFFFFF"/>
              </w:rPr>
              <w:t>及</w:t>
            </w:r>
            <w:r>
              <w:rPr>
                <w:rFonts w:ascii="sans-serif" w:hAnsi="sans-serif" w:eastAsia="sans-serif" w:cs="sans-serif"/>
                <w:sz w:val="24"/>
                <w:shd w:val="clear" w:color="auto" w:fill="FFFFFF"/>
              </w:rPr>
              <w:t>机构投资者</w:t>
            </w:r>
          </w:p>
        </w:tc>
      </w:tr>
      <w:tr w14:paraId="3F9D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00A73BCA">
            <w:pPr>
              <w:spacing w:line="420" w:lineRule="exact"/>
              <w:rPr>
                <w:bCs/>
                <w:iCs/>
                <w:color w:val="000000"/>
                <w:kern w:val="0"/>
                <w:sz w:val="24"/>
              </w:rPr>
            </w:pPr>
            <w:r>
              <w:rPr>
                <w:rFonts w:hAnsi="宋体"/>
                <w:bCs/>
                <w:iCs/>
                <w:color w:val="000000"/>
                <w:kern w:val="0"/>
                <w:sz w:val="24"/>
              </w:rPr>
              <w:t>时间</w:t>
            </w:r>
          </w:p>
        </w:tc>
        <w:tc>
          <w:tcPr>
            <w:tcW w:w="6607" w:type="dxa"/>
            <w:tcBorders>
              <w:top w:val="single" w:color="auto" w:sz="4" w:space="0"/>
              <w:left w:val="single" w:color="auto" w:sz="4" w:space="0"/>
              <w:bottom w:val="single" w:color="auto" w:sz="4" w:space="0"/>
              <w:right w:val="single" w:color="auto" w:sz="4" w:space="0"/>
            </w:tcBorders>
          </w:tcPr>
          <w:p w14:paraId="2968371C">
            <w:pPr>
              <w:spacing w:line="420" w:lineRule="exact"/>
              <w:rPr>
                <w:bCs/>
                <w:iCs/>
                <w:color w:val="000000"/>
                <w:sz w:val="24"/>
              </w:rPr>
            </w:pPr>
            <w:r>
              <w:rPr>
                <w:bCs/>
                <w:iCs/>
                <w:color w:val="000000"/>
                <w:sz w:val="24"/>
              </w:rPr>
              <w:t>202</w:t>
            </w:r>
            <w:r>
              <w:rPr>
                <w:rFonts w:hint="eastAsia"/>
                <w:bCs/>
                <w:iCs/>
                <w:color w:val="000000"/>
                <w:sz w:val="24"/>
              </w:rPr>
              <w:t>6</w:t>
            </w:r>
            <w:r>
              <w:rPr>
                <w:bCs/>
                <w:iCs/>
                <w:color w:val="000000"/>
                <w:sz w:val="24"/>
              </w:rPr>
              <w:t>年</w:t>
            </w:r>
            <w:r>
              <w:rPr>
                <w:rFonts w:hint="eastAsia"/>
                <w:bCs/>
                <w:iCs/>
                <w:color w:val="000000"/>
                <w:sz w:val="24"/>
              </w:rPr>
              <w:t>5</w:t>
            </w:r>
            <w:r>
              <w:rPr>
                <w:bCs/>
                <w:iCs/>
                <w:color w:val="000000"/>
                <w:sz w:val="24"/>
              </w:rPr>
              <w:t>月</w:t>
            </w:r>
            <w:r>
              <w:rPr>
                <w:rFonts w:hint="eastAsia"/>
                <w:bCs/>
                <w:iCs/>
                <w:color w:val="000000"/>
                <w:sz w:val="24"/>
              </w:rPr>
              <w:t>21日、5月22日</w:t>
            </w:r>
          </w:p>
        </w:tc>
      </w:tr>
      <w:tr w14:paraId="3257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16D6E8C1">
            <w:pPr>
              <w:spacing w:line="420" w:lineRule="exact"/>
              <w:rPr>
                <w:bCs/>
                <w:iCs/>
                <w:color w:val="000000"/>
                <w:kern w:val="0"/>
                <w:sz w:val="24"/>
              </w:rPr>
            </w:pPr>
            <w:r>
              <w:rPr>
                <w:rFonts w:hAnsi="宋体"/>
                <w:bCs/>
                <w:iCs/>
                <w:color w:val="000000"/>
                <w:kern w:val="0"/>
                <w:sz w:val="24"/>
              </w:rPr>
              <w:t>地点</w:t>
            </w:r>
          </w:p>
        </w:tc>
        <w:tc>
          <w:tcPr>
            <w:tcW w:w="6607" w:type="dxa"/>
            <w:tcBorders>
              <w:top w:val="single" w:color="auto" w:sz="4" w:space="0"/>
              <w:left w:val="single" w:color="auto" w:sz="4" w:space="0"/>
              <w:bottom w:val="single" w:color="auto" w:sz="4" w:space="0"/>
              <w:right w:val="single" w:color="auto" w:sz="4" w:space="0"/>
            </w:tcBorders>
          </w:tcPr>
          <w:p w14:paraId="778CA242">
            <w:pPr>
              <w:spacing w:line="420" w:lineRule="exact"/>
              <w:rPr>
                <w:bCs/>
                <w:iCs/>
                <w:color w:val="000000"/>
                <w:sz w:val="24"/>
              </w:rPr>
            </w:pPr>
            <w:r>
              <w:rPr>
                <w:rFonts w:hint="eastAsia" w:ascii="宋体" w:hAnsi="宋体"/>
                <w:sz w:val="24"/>
              </w:rPr>
              <w:t>现场及线上会议方式</w:t>
            </w:r>
          </w:p>
        </w:tc>
      </w:tr>
      <w:tr w14:paraId="2164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151D5F3E">
            <w:pPr>
              <w:spacing w:line="420" w:lineRule="exact"/>
              <w:rPr>
                <w:bCs/>
                <w:iCs/>
                <w:color w:val="000000"/>
                <w:kern w:val="0"/>
                <w:sz w:val="24"/>
              </w:rPr>
            </w:pPr>
            <w:r>
              <w:rPr>
                <w:rFonts w:hAnsi="宋体"/>
                <w:bCs/>
                <w:iCs/>
                <w:color w:val="000000"/>
                <w:kern w:val="0"/>
                <w:sz w:val="24"/>
              </w:rPr>
              <w:t>上市公司接待人员姓名</w:t>
            </w:r>
          </w:p>
        </w:tc>
        <w:tc>
          <w:tcPr>
            <w:tcW w:w="6607" w:type="dxa"/>
            <w:tcBorders>
              <w:top w:val="single" w:color="auto" w:sz="4" w:space="0"/>
              <w:left w:val="single" w:color="auto" w:sz="4" w:space="0"/>
              <w:bottom w:val="single" w:color="auto" w:sz="4" w:space="0"/>
              <w:right w:val="single" w:color="auto" w:sz="4" w:space="0"/>
            </w:tcBorders>
            <w:vAlign w:val="center"/>
          </w:tcPr>
          <w:p w14:paraId="341EE1E1">
            <w:pPr>
              <w:spacing w:line="420" w:lineRule="exact"/>
              <w:rPr>
                <w:bCs/>
                <w:sz w:val="24"/>
              </w:rPr>
            </w:pPr>
            <w:r>
              <w:rPr>
                <w:bCs/>
                <w:sz w:val="24"/>
              </w:rPr>
              <w:t>副总裁、董事会秘书黄一桓</w:t>
            </w:r>
            <w:r>
              <w:rPr>
                <w:rFonts w:hint="eastAsia"/>
                <w:bCs/>
                <w:sz w:val="24"/>
              </w:rPr>
              <w:t>先生，证券事务代表施慧女士及相关业务条线负责人</w:t>
            </w:r>
          </w:p>
        </w:tc>
      </w:tr>
      <w:tr w14:paraId="20B4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378A620D">
            <w:pPr>
              <w:spacing w:line="420" w:lineRule="exact"/>
              <w:rPr>
                <w:bCs/>
                <w:iCs/>
                <w:color w:val="000000"/>
                <w:sz w:val="24"/>
              </w:rPr>
            </w:pPr>
            <w:r>
              <w:rPr>
                <w:rFonts w:hAnsi="宋体"/>
                <w:bCs/>
                <w:iCs/>
                <w:color w:val="000000"/>
                <w:kern w:val="0"/>
                <w:sz w:val="24"/>
              </w:rPr>
              <w:t>投资者关系活动主要内容介绍</w:t>
            </w:r>
          </w:p>
        </w:tc>
        <w:tc>
          <w:tcPr>
            <w:tcW w:w="6607" w:type="dxa"/>
            <w:tcBorders>
              <w:top w:val="single" w:color="auto" w:sz="4" w:space="0"/>
              <w:left w:val="single" w:color="auto" w:sz="4" w:space="0"/>
              <w:bottom w:val="single" w:color="auto" w:sz="4" w:space="0"/>
              <w:right w:val="single" w:color="auto" w:sz="4" w:space="0"/>
            </w:tcBorders>
          </w:tcPr>
          <w:p w14:paraId="02A6AA0E">
            <w:pPr>
              <w:pStyle w:val="13"/>
              <w:spacing w:line="460" w:lineRule="exact"/>
              <w:ind w:left="-2" w:leftChars="-1" w:firstLine="482"/>
              <w:rPr>
                <w:rFonts w:ascii="Times New Roman" w:hAnsi="Times New Roman"/>
                <w:b/>
                <w:bCs/>
                <w:sz w:val="24"/>
                <w:szCs w:val="24"/>
                <w:lang w:bidi="ar"/>
              </w:rPr>
            </w:pPr>
            <w:r>
              <w:rPr>
                <w:rFonts w:hint="eastAsia" w:ascii="Times New Roman" w:hAnsi="Times New Roman"/>
                <w:b/>
                <w:bCs/>
                <w:sz w:val="24"/>
                <w:szCs w:val="24"/>
                <w:lang w:bidi="ar"/>
              </w:rPr>
              <w:t>1、珠免集团已置入珠海免税51%股权，</w:t>
            </w:r>
            <w:r>
              <w:rPr>
                <w:rFonts w:ascii="Times New Roman" w:hAnsi="Times New Roman"/>
                <w:b/>
                <w:bCs/>
                <w:sz w:val="24"/>
                <w:szCs w:val="24"/>
                <w:lang w:bidi="ar"/>
              </w:rPr>
              <w:t>剩余49%免税股权如何规划？</w:t>
            </w:r>
          </w:p>
          <w:p w14:paraId="576AC15B">
            <w:pPr>
              <w:pStyle w:val="13"/>
              <w:spacing w:line="460" w:lineRule="exact"/>
              <w:ind w:left="-2" w:leftChars="-1" w:firstLine="480"/>
              <w:rPr>
                <w:rFonts w:ascii="Times New Roman" w:hAnsi="Times New Roman"/>
                <w:sz w:val="24"/>
                <w:szCs w:val="24"/>
                <w:lang w:bidi="ar"/>
              </w:rPr>
            </w:pPr>
            <w:r>
              <w:rPr>
                <w:rFonts w:ascii="Times New Roman" w:hAnsi="Times New Roman"/>
                <w:sz w:val="24"/>
                <w:szCs w:val="24"/>
                <w:lang w:bidi="ar"/>
              </w:rPr>
              <w:t>答：</w:t>
            </w:r>
            <w:r>
              <w:rPr>
                <w:rFonts w:hint="eastAsia" w:ascii="Times New Roman" w:hAnsi="Times New Roman"/>
                <w:sz w:val="24"/>
                <w:szCs w:val="24"/>
                <w:lang w:bidi="ar"/>
              </w:rPr>
              <w:t>对于珠海免税剩余股权，公司将根据未来战略发展规划进行考量，若未来有相关计划，公司将严格按照相关规定及时履行信息披露义务。</w:t>
            </w:r>
          </w:p>
          <w:p w14:paraId="1B95B8EA">
            <w:pPr>
              <w:pStyle w:val="13"/>
              <w:spacing w:line="460" w:lineRule="exact"/>
              <w:ind w:left="-2" w:leftChars="-1" w:firstLine="482"/>
              <w:rPr>
                <w:rFonts w:ascii="Times New Roman" w:hAnsi="Times New Roman"/>
                <w:b/>
                <w:bCs/>
                <w:sz w:val="24"/>
                <w:szCs w:val="24"/>
                <w:lang w:bidi="ar"/>
              </w:rPr>
            </w:pPr>
            <w:r>
              <w:rPr>
                <w:rFonts w:hint="eastAsia" w:ascii="Times New Roman" w:hAnsi="Times New Roman"/>
                <w:b/>
                <w:bCs/>
                <w:sz w:val="24"/>
                <w:szCs w:val="24"/>
                <w:lang w:bidi="ar"/>
              </w:rPr>
              <w:t>2</w:t>
            </w:r>
            <w:r>
              <w:rPr>
                <w:rFonts w:ascii="Times New Roman" w:hAnsi="Times New Roman"/>
                <w:b/>
                <w:bCs/>
                <w:sz w:val="24"/>
                <w:szCs w:val="24"/>
                <w:lang w:bidi="ar"/>
              </w:rPr>
              <w:t>、公司整体负债水平如何？后续在债务优化上有何规划？</w:t>
            </w:r>
          </w:p>
          <w:p w14:paraId="1973B6ED">
            <w:pPr>
              <w:pStyle w:val="13"/>
              <w:spacing w:line="460" w:lineRule="exact"/>
              <w:ind w:left="-2" w:leftChars="-1" w:firstLine="480"/>
              <w:rPr>
                <w:rFonts w:ascii="Times New Roman" w:hAnsi="Times New Roman"/>
                <w:sz w:val="24"/>
                <w:szCs w:val="24"/>
                <w:lang w:bidi="ar"/>
              </w:rPr>
            </w:pPr>
            <w:r>
              <w:rPr>
                <w:rFonts w:hint="eastAsia" w:ascii="Times New Roman" w:hAnsi="Times New Roman"/>
                <w:sz w:val="24"/>
                <w:szCs w:val="24"/>
                <w:lang w:bidi="ar"/>
              </w:rPr>
              <w:t>答：截至2025年末，公司有息负债规模为109.33亿元，较2024年末压降约21亿元，同比下降16.16%。</w:t>
            </w:r>
            <w:r>
              <w:rPr>
                <w:rFonts w:hint="eastAsia" w:ascii="Times New Roman" w:hAnsi="Times New Roman" w:cs="Times New Roman"/>
                <w:kern w:val="2"/>
                <w:sz w:val="24"/>
                <w:szCs w:val="24"/>
                <w:lang w:val="en-US" w:eastAsia="zh-CN" w:bidi="ar"/>
              </w:rPr>
              <w:t>未来</w:t>
            </w:r>
            <w:r>
              <w:rPr>
                <w:rFonts w:hint="eastAsia" w:ascii="Times New Roman" w:hAnsi="Times New Roman" w:eastAsia="宋体" w:cs="Times New Roman"/>
                <w:kern w:val="2"/>
                <w:sz w:val="24"/>
                <w:szCs w:val="24"/>
                <w:lang w:val="en-US" w:eastAsia="zh-CN" w:bidi="ar"/>
              </w:rPr>
              <w:t>公司将立足内生经营造血与盈利留存，</w:t>
            </w:r>
            <w:r>
              <w:rPr>
                <w:rFonts w:hint="eastAsia" w:ascii="Times New Roman" w:hAnsi="Times New Roman"/>
                <w:sz w:val="24"/>
                <w:szCs w:val="24"/>
                <w:lang w:bidi="ar"/>
              </w:rPr>
              <w:t>统筹运用直接融资工具及公司债、超短期融资券、中期票据等债务融资工具，持续优化资本结构，推动负债水平回归行业合理区间，支撑业务长期健康发展。</w:t>
            </w:r>
          </w:p>
          <w:p w14:paraId="54CF6926">
            <w:pPr>
              <w:pStyle w:val="13"/>
              <w:spacing w:line="460" w:lineRule="exact"/>
              <w:ind w:left="-2" w:leftChars="-1" w:firstLine="482"/>
              <w:rPr>
                <w:rFonts w:ascii="Times New Roman" w:hAnsi="Times New Roman"/>
                <w:b/>
                <w:bCs/>
                <w:sz w:val="24"/>
                <w:szCs w:val="24"/>
                <w:lang w:bidi="ar"/>
              </w:rPr>
            </w:pPr>
            <w:r>
              <w:rPr>
                <w:rFonts w:hint="eastAsia" w:ascii="Times New Roman" w:hAnsi="Times New Roman"/>
                <w:b/>
                <w:bCs/>
                <w:sz w:val="24"/>
                <w:szCs w:val="24"/>
                <w:lang w:bidi="ar"/>
              </w:rPr>
              <w:t>3</w:t>
            </w:r>
            <w:r>
              <w:rPr>
                <w:rFonts w:ascii="Times New Roman" w:hAnsi="Times New Roman"/>
                <w:b/>
                <w:bCs/>
                <w:sz w:val="24"/>
                <w:szCs w:val="24"/>
                <w:lang w:bidi="ar"/>
              </w:rPr>
              <w:t>、公司在海南的布局规划及进展如何？</w:t>
            </w:r>
          </w:p>
          <w:p w14:paraId="4749E4E3">
            <w:pPr>
              <w:pStyle w:val="13"/>
              <w:spacing w:line="460" w:lineRule="exact"/>
              <w:ind w:left="-2" w:leftChars="-1" w:firstLine="480"/>
              <w:rPr>
                <w:rFonts w:ascii="Times New Roman" w:hAnsi="Times New Roman"/>
                <w:sz w:val="24"/>
                <w:szCs w:val="24"/>
                <w:lang w:bidi="ar"/>
              </w:rPr>
            </w:pPr>
            <w:r>
              <w:rPr>
                <w:rFonts w:hint="eastAsia" w:ascii="Times New Roman" w:hAnsi="Times New Roman"/>
                <w:sz w:val="24"/>
                <w:szCs w:val="24"/>
                <w:lang w:bidi="ar"/>
              </w:rPr>
              <w:t>答：公司积极关注海南自贸区业务机会，将以三亚湾壹号项目为重要依托，积极有序推进离岛免税经营资质的申请工作。若未来有相关进展，公司将严格按照相关规定及时履行信息披露义务。同时，公司同步拓展面向海南本地居民的岛民免税业务，2026年2月11日，三亚首家日用消费品免税店——三亚市珠海免税日用消费品免税店在三亚湾壹号正式开业。</w:t>
            </w:r>
          </w:p>
          <w:p w14:paraId="132CB63F">
            <w:pPr>
              <w:pStyle w:val="13"/>
              <w:spacing w:line="460" w:lineRule="exact"/>
              <w:ind w:left="-2" w:leftChars="-1" w:firstLine="482"/>
              <w:rPr>
                <w:rFonts w:ascii="Times New Roman" w:hAnsi="Times New Roman"/>
                <w:b/>
                <w:bCs/>
                <w:sz w:val="24"/>
                <w:szCs w:val="24"/>
                <w:lang w:bidi="ar"/>
              </w:rPr>
            </w:pPr>
            <w:r>
              <w:rPr>
                <w:rFonts w:hint="eastAsia" w:ascii="Times New Roman" w:hAnsi="Times New Roman"/>
                <w:b/>
                <w:bCs/>
                <w:sz w:val="24"/>
                <w:szCs w:val="24"/>
                <w:lang w:bidi="ar"/>
              </w:rPr>
              <w:t>4、横琴业务布局规划与进展如何？</w:t>
            </w:r>
          </w:p>
          <w:p w14:paraId="334FC4FD">
            <w:pPr>
              <w:pStyle w:val="13"/>
              <w:spacing w:line="460" w:lineRule="exact"/>
              <w:ind w:left="-2" w:leftChars="-1" w:firstLine="480"/>
              <w:rPr>
                <w:rFonts w:ascii="Times New Roman" w:hAnsi="Times New Roman"/>
                <w:sz w:val="24"/>
                <w:szCs w:val="24"/>
                <w:lang w:bidi="ar"/>
              </w:rPr>
            </w:pPr>
            <w:r>
              <w:rPr>
                <w:rFonts w:hint="eastAsia" w:ascii="Times New Roman" w:hAnsi="Times New Roman"/>
                <w:sz w:val="24"/>
                <w:szCs w:val="24"/>
                <w:lang w:val="en-US" w:eastAsia="zh-CN" w:bidi="ar"/>
              </w:rPr>
              <w:t>答：</w:t>
            </w:r>
            <w:bookmarkStart w:id="0" w:name="_GoBack"/>
            <w:bookmarkEnd w:id="0"/>
            <w:r>
              <w:rPr>
                <w:rFonts w:hint="eastAsia" w:ascii="Times New Roman" w:hAnsi="Times New Roman"/>
                <w:sz w:val="24"/>
                <w:szCs w:val="24"/>
                <w:lang w:bidi="ar"/>
              </w:rPr>
              <w:t>2026年1月，财政部、商务部、文化和旅游部、海关总署、税务总局发布《关于口岸进境免税店有关事宜的通知》，决定在全国41个口岸新设进境免税店，其中横琴口岸位列其中。目前，公司正积极筹备横琴口岸进境免税店投标工作。</w:t>
            </w:r>
          </w:p>
          <w:p w14:paraId="0BE961FB">
            <w:pPr>
              <w:pStyle w:val="13"/>
              <w:spacing w:line="460" w:lineRule="exact"/>
              <w:ind w:left="-2" w:leftChars="-1" w:firstLine="482"/>
              <w:rPr>
                <w:rFonts w:ascii="Times New Roman" w:hAnsi="Times New Roman"/>
                <w:b/>
                <w:bCs/>
                <w:sz w:val="24"/>
                <w:szCs w:val="24"/>
                <w:lang w:bidi="ar"/>
              </w:rPr>
            </w:pPr>
            <w:r>
              <w:rPr>
                <w:rFonts w:hint="eastAsia" w:ascii="Times New Roman" w:hAnsi="Times New Roman"/>
                <w:b/>
                <w:bCs/>
                <w:sz w:val="24"/>
                <w:szCs w:val="24"/>
                <w:lang w:bidi="ar"/>
              </w:rPr>
              <w:t>5</w:t>
            </w:r>
            <w:r>
              <w:rPr>
                <w:rFonts w:ascii="Times New Roman" w:hAnsi="Times New Roman"/>
                <w:b/>
                <w:bCs/>
                <w:sz w:val="24"/>
                <w:szCs w:val="24"/>
                <w:lang w:bidi="ar"/>
              </w:rPr>
              <w:t>、</w:t>
            </w:r>
            <w:r>
              <w:rPr>
                <w:rFonts w:hint="eastAsia" w:ascii="Times New Roman" w:hAnsi="Times New Roman"/>
                <w:b/>
                <w:bCs/>
                <w:sz w:val="24"/>
                <w:szCs w:val="24"/>
                <w:lang w:bidi="ar"/>
              </w:rPr>
              <w:t>门店拓展有无计划？重点布局哪些区域？</w:t>
            </w:r>
          </w:p>
          <w:p w14:paraId="5BC91734">
            <w:pPr>
              <w:pStyle w:val="13"/>
              <w:spacing w:line="460" w:lineRule="exact"/>
              <w:ind w:left="-2" w:leftChars="-1" w:firstLine="480"/>
              <w:rPr>
                <w:rFonts w:ascii="Times New Roman" w:hAnsi="Times New Roman"/>
                <w:sz w:val="24"/>
                <w:szCs w:val="24"/>
                <w:lang w:bidi="ar"/>
              </w:rPr>
            </w:pPr>
            <w:r>
              <w:rPr>
                <w:rFonts w:hint="eastAsia" w:ascii="Times New Roman" w:hAnsi="Times New Roman"/>
                <w:sz w:val="24"/>
                <w:szCs w:val="24"/>
                <w:lang w:bidi="ar"/>
              </w:rPr>
              <w:t>答：公司门店拓展将采取“存量深耕+增量卡位”的策略。存量方面，公司将全面推进现有零售网络的战略性扩容与功能升级，旨在最大化核心区位的商业空间价值，通过场景创新与客流转化重构单店效能；增量方面，公司优先在已有出境免税业务的城市深化布局，重点推进南宁、揭阳等国际机场的进境免税店项目，实现出入境业务联动。2026年5月，公司先后中标揭阳潮汕机场进境免税店和桂林两江国际机场进出境免税店项目。同时，公司将重点卡位高潜边境与旅游口岸，探索西南、东北及西北等具备独特地缘优势与成长空间的沿边区域，构建差异化网络布局。</w:t>
            </w:r>
          </w:p>
          <w:p w14:paraId="39ACE2EE">
            <w:pPr>
              <w:pStyle w:val="13"/>
              <w:spacing w:line="460" w:lineRule="exact"/>
              <w:ind w:left="-2" w:leftChars="-1" w:firstLine="482"/>
              <w:rPr>
                <w:rFonts w:ascii="Times New Roman" w:hAnsi="Times New Roman"/>
                <w:b/>
                <w:bCs/>
                <w:sz w:val="24"/>
                <w:szCs w:val="24"/>
                <w:lang w:bidi="ar"/>
              </w:rPr>
            </w:pPr>
            <w:r>
              <w:rPr>
                <w:rFonts w:hint="eastAsia" w:ascii="Times New Roman" w:hAnsi="Times New Roman"/>
                <w:b/>
                <w:bCs/>
                <w:sz w:val="24"/>
                <w:szCs w:val="24"/>
                <w:lang w:bidi="ar"/>
              </w:rPr>
              <w:t>6、</w:t>
            </w:r>
            <w:r>
              <w:rPr>
                <w:rFonts w:ascii="Times New Roman" w:hAnsi="Times New Roman"/>
                <w:b/>
                <w:bCs/>
                <w:sz w:val="24"/>
                <w:szCs w:val="24"/>
                <w:lang w:bidi="ar"/>
              </w:rPr>
              <w:t>烟酒、香化、电子产品等主要品类的毛利率水</w:t>
            </w:r>
            <w:r>
              <w:rPr>
                <w:rFonts w:hint="eastAsia" w:ascii="Times New Roman" w:hAnsi="Times New Roman"/>
                <w:b/>
                <w:bCs/>
                <w:sz w:val="24"/>
                <w:szCs w:val="24"/>
                <w:lang w:bidi="ar"/>
              </w:rPr>
              <w:t>平及未来趋势如何？</w:t>
            </w:r>
          </w:p>
          <w:p w14:paraId="3BC2C62E">
            <w:pPr>
              <w:pStyle w:val="13"/>
              <w:spacing w:line="460" w:lineRule="exact"/>
              <w:ind w:left="-2" w:leftChars="-1" w:firstLine="480"/>
              <w:rPr>
                <w:rFonts w:ascii="Times New Roman" w:hAnsi="Times New Roman"/>
                <w:sz w:val="24"/>
                <w:szCs w:val="24"/>
                <w:lang w:bidi="ar"/>
              </w:rPr>
            </w:pPr>
            <w:r>
              <w:rPr>
                <w:rFonts w:hint="eastAsia" w:ascii="Times New Roman" w:hAnsi="Times New Roman"/>
                <w:sz w:val="24"/>
                <w:szCs w:val="24"/>
                <w:lang w:bidi="ar"/>
              </w:rPr>
              <w:t>答：公司传统产品整体毛利率水平较高，是公司核心毛利贡献来源；食品类产品的毛利率也较为可观，是公司增长潜力较大的品种。在免税新政下，公司计划新增电子产品、黄金、保健品等品类，持续优化商品结构，推动综合毛利率水平优化。</w:t>
            </w:r>
          </w:p>
          <w:p w14:paraId="3CDA0A85">
            <w:pPr>
              <w:pStyle w:val="13"/>
              <w:spacing w:line="460" w:lineRule="exact"/>
              <w:ind w:left="-2" w:leftChars="-1" w:firstLine="482"/>
              <w:rPr>
                <w:rFonts w:ascii="Times New Roman" w:hAnsi="Times New Roman"/>
                <w:sz w:val="24"/>
                <w:szCs w:val="24"/>
                <w:lang w:bidi="ar"/>
              </w:rPr>
            </w:pPr>
            <w:r>
              <w:rPr>
                <w:rFonts w:hint="eastAsia" w:ascii="Times New Roman" w:hAnsi="Times New Roman"/>
                <w:b/>
                <w:bCs/>
                <w:sz w:val="24"/>
                <w:szCs w:val="24"/>
                <w:lang w:bidi="ar"/>
              </w:rPr>
              <w:t>7、公司未来发展规划？</w:t>
            </w:r>
          </w:p>
          <w:p w14:paraId="2E8A469C">
            <w:pPr>
              <w:pStyle w:val="13"/>
              <w:spacing w:line="460" w:lineRule="exact"/>
              <w:ind w:left="-2" w:leftChars="-1" w:firstLine="480"/>
              <w:rPr>
                <w:rFonts w:ascii="Times New Roman" w:hAnsi="Times New Roman"/>
                <w:sz w:val="24"/>
                <w:szCs w:val="24"/>
                <w:lang w:bidi="ar"/>
              </w:rPr>
            </w:pPr>
            <w:r>
              <w:rPr>
                <w:rFonts w:hint="eastAsia" w:ascii="Times New Roman" w:hAnsi="Times New Roman"/>
                <w:sz w:val="24"/>
                <w:szCs w:val="24"/>
                <w:lang w:bidi="ar"/>
              </w:rPr>
              <w:t>答：未来珠免集团将持续聚焦主业发展，立足湾区，布局横琴，开拓海南，迈向全国。依托新政赋予的战略窗口期，珠免集团正系统性地推进多维战略举措：加速新店布局、优化门店落位、扩增门店面积、申请牌照资质等，并探索通过深化免税业务、引入战略投资者、并购优质标的等来夯实资本与组织基础，通过构建政策、渠道与资本的三重协同优势，为公司高质量发展注入确定性动能。</w:t>
            </w:r>
          </w:p>
        </w:tc>
      </w:tr>
      <w:tr w14:paraId="53F8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37F3AEF1">
            <w:pPr>
              <w:spacing w:line="420" w:lineRule="exact"/>
              <w:rPr>
                <w:rFonts w:hAnsi="宋体"/>
                <w:bCs/>
                <w:iCs/>
                <w:color w:val="000000"/>
                <w:kern w:val="0"/>
                <w:sz w:val="24"/>
              </w:rPr>
            </w:pPr>
            <w:r>
              <w:rPr>
                <w:rFonts w:hint="eastAsia" w:hAnsi="宋体"/>
                <w:bCs/>
                <w:iCs/>
                <w:color w:val="000000"/>
                <w:kern w:val="0"/>
                <w:sz w:val="24"/>
              </w:rPr>
              <w:t>是否涉及应当披露重大信息</w:t>
            </w:r>
          </w:p>
        </w:tc>
        <w:tc>
          <w:tcPr>
            <w:tcW w:w="6607" w:type="dxa"/>
            <w:tcBorders>
              <w:top w:val="single" w:color="auto" w:sz="4" w:space="0"/>
              <w:left w:val="single" w:color="auto" w:sz="4" w:space="0"/>
              <w:bottom w:val="single" w:color="auto" w:sz="4" w:space="0"/>
              <w:right w:val="single" w:color="auto" w:sz="4" w:space="0"/>
            </w:tcBorders>
            <w:vAlign w:val="center"/>
          </w:tcPr>
          <w:p w14:paraId="3C9ED9C6">
            <w:pPr>
              <w:spacing w:line="420" w:lineRule="exact"/>
              <w:rPr>
                <w:bCs/>
                <w:iCs/>
                <w:color w:val="000000"/>
                <w:sz w:val="24"/>
              </w:rPr>
            </w:pPr>
            <w:r>
              <w:rPr>
                <w:rFonts w:hint="eastAsia"/>
                <w:bCs/>
                <w:iCs/>
                <w:color w:val="000000"/>
                <w:sz w:val="24"/>
              </w:rPr>
              <w:t>否</w:t>
            </w:r>
          </w:p>
        </w:tc>
      </w:tr>
      <w:tr w14:paraId="21E5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74F9FD4">
            <w:pPr>
              <w:spacing w:line="420" w:lineRule="exact"/>
              <w:rPr>
                <w:bCs/>
                <w:iCs/>
                <w:color w:val="000000"/>
                <w:kern w:val="0"/>
                <w:sz w:val="24"/>
              </w:rPr>
            </w:pPr>
            <w:r>
              <w:rPr>
                <w:rFonts w:hAnsi="宋体"/>
                <w:bCs/>
                <w:iCs/>
                <w:color w:val="000000"/>
                <w:kern w:val="0"/>
                <w:sz w:val="24"/>
              </w:rPr>
              <w:t>附件清单</w:t>
            </w:r>
            <w:r>
              <w:rPr>
                <w:rFonts w:hAnsi="宋体"/>
                <w:bCs/>
                <w:iCs/>
                <w:color w:val="000000"/>
                <w:kern w:val="0"/>
                <w:sz w:val="24"/>
              </w:rPr>
              <w:br w:type="textWrapping"/>
            </w:r>
            <w:r>
              <w:rPr>
                <w:rFonts w:hAnsi="宋体"/>
                <w:bCs/>
                <w:iCs/>
                <w:color w:val="000000"/>
                <w:kern w:val="0"/>
                <w:sz w:val="24"/>
              </w:rPr>
              <w:t>（如有）</w:t>
            </w:r>
          </w:p>
        </w:tc>
        <w:tc>
          <w:tcPr>
            <w:tcW w:w="6607" w:type="dxa"/>
            <w:tcBorders>
              <w:top w:val="single" w:color="auto" w:sz="4" w:space="0"/>
              <w:left w:val="single" w:color="auto" w:sz="4" w:space="0"/>
              <w:bottom w:val="single" w:color="auto" w:sz="4" w:space="0"/>
              <w:right w:val="single" w:color="auto" w:sz="4" w:space="0"/>
            </w:tcBorders>
            <w:vAlign w:val="center"/>
          </w:tcPr>
          <w:p w14:paraId="7F73A870">
            <w:pPr>
              <w:spacing w:line="420" w:lineRule="exact"/>
              <w:rPr>
                <w:bCs/>
                <w:iCs/>
                <w:color w:val="000000"/>
                <w:sz w:val="24"/>
              </w:rPr>
            </w:pPr>
            <w:r>
              <w:rPr>
                <w:rFonts w:hint="eastAsia"/>
                <w:bCs/>
                <w:iCs/>
                <w:color w:val="000000"/>
                <w:sz w:val="24"/>
              </w:rPr>
              <w:t>无</w:t>
            </w:r>
          </w:p>
        </w:tc>
      </w:tr>
      <w:tr w14:paraId="507A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DC26C95">
            <w:pPr>
              <w:spacing w:line="420" w:lineRule="exact"/>
              <w:rPr>
                <w:bCs/>
                <w:iCs/>
                <w:color w:val="000000"/>
                <w:kern w:val="0"/>
                <w:sz w:val="24"/>
              </w:rPr>
            </w:pPr>
            <w:r>
              <w:rPr>
                <w:rFonts w:hAnsi="宋体"/>
                <w:bCs/>
                <w:iCs/>
                <w:color w:val="000000"/>
                <w:kern w:val="0"/>
                <w:sz w:val="24"/>
              </w:rPr>
              <w:t>日期</w:t>
            </w:r>
          </w:p>
        </w:tc>
        <w:tc>
          <w:tcPr>
            <w:tcW w:w="6607" w:type="dxa"/>
            <w:tcBorders>
              <w:top w:val="single" w:color="auto" w:sz="4" w:space="0"/>
              <w:left w:val="single" w:color="auto" w:sz="4" w:space="0"/>
              <w:bottom w:val="single" w:color="auto" w:sz="4" w:space="0"/>
              <w:right w:val="single" w:color="auto" w:sz="4" w:space="0"/>
            </w:tcBorders>
          </w:tcPr>
          <w:p w14:paraId="324FDC54">
            <w:pPr>
              <w:spacing w:line="420" w:lineRule="exact"/>
              <w:rPr>
                <w:bCs/>
                <w:iCs/>
                <w:color w:val="000000"/>
                <w:sz w:val="24"/>
              </w:rPr>
            </w:pPr>
            <w:r>
              <w:rPr>
                <w:bCs/>
                <w:iCs/>
                <w:color w:val="000000"/>
                <w:sz w:val="24"/>
              </w:rPr>
              <w:t>202</w:t>
            </w:r>
            <w:r>
              <w:rPr>
                <w:rFonts w:hint="eastAsia"/>
                <w:bCs/>
                <w:iCs/>
                <w:color w:val="000000"/>
                <w:sz w:val="24"/>
              </w:rPr>
              <w:t>6年5月21日、5月22日</w:t>
            </w:r>
          </w:p>
        </w:tc>
      </w:tr>
    </w:tbl>
    <w:p w14:paraId="746D8248"/>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E301">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AA8E">
    <w:pPr>
      <w:pStyle w:val="5"/>
      <w:pBdr>
        <w:bottom w:val="single" w:color="auto" w:sz="4" w:space="0"/>
      </w:pBdr>
      <w:jc w:val="left"/>
    </w:pPr>
    <w:r>
      <w:rPr>
        <w:rFonts w:hint="eastAsia"/>
      </w:rPr>
      <w:drawing>
        <wp:anchor distT="0" distB="0" distL="114300" distR="114300" simplePos="0" relativeHeight="251659264" behindDoc="0" locked="0" layoutInCell="1" allowOverlap="1">
          <wp:simplePos x="0" y="0"/>
          <wp:positionH relativeFrom="column">
            <wp:posOffset>14605</wp:posOffset>
          </wp:positionH>
          <wp:positionV relativeFrom="paragraph">
            <wp:posOffset>-197485</wp:posOffset>
          </wp:positionV>
          <wp:extent cx="1196340" cy="325755"/>
          <wp:effectExtent l="0" t="0" r="0" b="17145"/>
          <wp:wrapNone/>
          <wp:docPr id="3" name="图片 2069441879" descr="6014f5e0941f35b1e8572e3527c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69441879" descr="6014f5e0941f35b1e8572e3527c5117"/>
                  <pic:cNvPicPr>
                    <a:picLocks noChangeAspect="1"/>
                  </pic:cNvPicPr>
                </pic:nvPicPr>
                <pic:blipFill>
                  <a:blip r:embed="rId1"/>
                  <a:srcRect l="6081" t="30446" r="3368" b="28036"/>
                  <a:stretch>
                    <a:fillRect/>
                  </a:stretch>
                </pic:blipFill>
                <pic:spPr>
                  <a:xfrm>
                    <a:off x="0" y="0"/>
                    <a:ext cx="1196340" cy="32575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008C2"/>
    <w:rsid w:val="000268C0"/>
    <w:rsid w:val="000363B5"/>
    <w:rsid w:val="000375D7"/>
    <w:rsid w:val="00043015"/>
    <w:rsid w:val="00046DDE"/>
    <w:rsid w:val="00047EB9"/>
    <w:rsid w:val="0005072C"/>
    <w:rsid w:val="00060A74"/>
    <w:rsid w:val="00065F93"/>
    <w:rsid w:val="00067110"/>
    <w:rsid w:val="00087D45"/>
    <w:rsid w:val="0009298A"/>
    <w:rsid w:val="000A2808"/>
    <w:rsid w:val="000A3BAC"/>
    <w:rsid w:val="000C0980"/>
    <w:rsid w:val="000C0F1B"/>
    <w:rsid w:val="000C26FD"/>
    <w:rsid w:val="000C2D85"/>
    <w:rsid w:val="000E5700"/>
    <w:rsid w:val="000F0C4B"/>
    <w:rsid w:val="000F0E22"/>
    <w:rsid w:val="00105A04"/>
    <w:rsid w:val="001139BC"/>
    <w:rsid w:val="001169A9"/>
    <w:rsid w:val="00125EB2"/>
    <w:rsid w:val="00142A4C"/>
    <w:rsid w:val="00142CCE"/>
    <w:rsid w:val="00144279"/>
    <w:rsid w:val="001452FF"/>
    <w:rsid w:val="0016617A"/>
    <w:rsid w:val="00167E99"/>
    <w:rsid w:val="001975AB"/>
    <w:rsid w:val="001A00F5"/>
    <w:rsid w:val="001A1F65"/>
    <w:rsid w:val="001A5CE9"/>
    <w:rsid w:val="001C50AD"/>
    <w:rsid w:val="001D22EE"/>
    <w:rsid w:val="001D3DB8"/>
    <w:rsid w:val="001D4C89"/>
    <w:rsid w:val="001D749D"/>
    <w:rsid w:val="001D7A2A"/>
    <w:rsid w:val="001E1838"/>
    <w:rsid w:val="001E3145"/>
    <w:rsid w:val="001E5685"/>
    <w:rsid w:val="001E6509"/>
    <w:rsid w:val="001E7968"/>
    <w:rsid w:val="0022180A"/>
    <w:rsid w:val="00223ABC"/>
    <w:rsid w:val="002241B9"/>
    <w:rsid w:val="002274D9"/>
    <w:rsid w:val="0023455A"/>
    <w:rsid w:val="00237994"/>
    <w:rsid w:val="00251D58"/>
    <w:rsid w:val="002530EE"/>
    <w:rsid w:val="002549E6"/>
    <w:rsid w:val="00256602"/>
    <w:rsid w:val="00256621"/>
    <w:rsid w:val="00271C8D"/>
    <w:rsid w:val="00273B53"/>
    <w:rsid w:val="0028080C"/>
    <w:rsid w:val="00295257"/>
    <w:rsid w:val="00297703"/>
    <w:rsid w:val="002A0826"/>
    <w:rsid w:val="002A0984"/>
    <w:rsid w:val="002A589B"/>
    <w:rsid w:val="002B1184"/>
    <w:rsid w:val="002B365D"/>
    <w:rsid w:val="002B71B8"/>
    <w:rsid w:val="002B7469"/>
    <w:rsid w:val="002C22C6"/>
    <w:rsid w:val="002C6568"/>
    <w:rsid w:val="002C723B"/>
    <w:rsid w:val="002D39BC"/>
    <w:rsid w:val="002E1B15"/>
    <w:rsid w:val="002E1D3A"/>
    <w:rsid w:val="003005F0"/>
    <w:rsid w:val="003030BF"/>
    <w:rsid w:val="00304F89"/>
    <w:rsid w:val="00306023"/>
    <w:rsid w:val="00327D5D"/>
    <w:rsid w:val="0033570C"/>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1AE2"/>
    <w:rsid w:val="003F7C4D"/>
    <w:rsid w:val="0040075F"/>
    <w:rsid w:val="00403300"/>
    <w:rsid w:val="004118C0"/>
    <w:rsid w:val="00417A31"/>
    <w:rsid w:val="0042004B"/>
    <w:rsid w:val="004267FD"/>
    <w:rsid w:val="00433384"/>
    <w:rsid w:val="0043777D"/>
    <w:rsid w:val="0044138C"/>
    <w:rsid w:val="00454C77"/>
    <w:rsid w:val="0045767F"/>
    <w:rsid w:val="00463E9B"/>
    <w:rsid w:val="00467414"/>
    <w:rsid w:val="00473F30"/>
    <w:rsid w:val="00484992"/>
    <w:rsid w:val="0048591A"/>
    <w:rsid w:val="00486D86"/>
    <w:rsid w:val="0048721A"/>
    <w:rsid w:val="0048768F"/>
    <w:rsid w:val="004A0BD5"/>
    <w:rsid w:val="004A1BBF"/>
    <w:rsid w:val="004A73E5"/>
    <w:rsid w:val="004C19BF"/>
    <w:rsid w:val="004D4F77"/>
    <w:rsid w:val="004D7640"/>
    <w:rsid w:val="004E1A9B"/>
    <w:rsid w:val="00500AB6"/>
    <w:rsid w:val="005155FB"/>
    <w:rsid w:val="00523907"/>
    <w:rsid w:val="00537C53"/>
    <w:rsid w:val="005438F5"/>
    <w:rsid w:val="00544901"/>
    <w:rsid w:val="005474D3"/>
    <w:rsid w:val="00550737"/>
    <w:rsid w:val="00555DD2"/>
    <w:rsid w:val="00565ED9"/>
    <w:rsid w:val="00572055"/>
    <w:rsid w:val="005760C6"/>
    <w:rsid w:val="00585A1B"/>
    <w:rsid w:val="00591260"/>
    <w:rsid w:val="00591314"/>
    <w:rsid w:val="00593D40"/>
    <w:rsid w:val="00595F1B"/>
    <w:rsid w:val="005A3BE0"/>
    <w:rsid w:val="005A6817"/>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562F7"/>
    <w:rsid w:val="00656B26"/>
    <w:rsid w:val="00661DF0"/>
    <w:rsid w:val="00662505"/>
    <w:rsid w:val="0066674C"/>
    <w:rsid w:val="00674DB6"/>
    <w:rsid w:val="006760F7"/>
    <w:rsid w:val="006861C7"/>
    <w:rsid w:val="00686DDF"/>
    <w:rsid w:val="00697B12"/>
    <w:rsid w:val="006A55BB"/>
    <w:rsid w:val="006A7613"/>
    <w:rsid w:val="006B661A"/>
    <w:rsid w:val="006B7D00"/>
    <w:rsid w:val="006C6BC5"/>
    <w:rsid w:val="006D30D9"/>
    <w:rsid w:val="006D61A2"/>
    <w:rsid w:val="006E1DB4"/>
    <w:rsid w:val="006E62B6"/>
    <w:rsid w:val="006F7D0D"/>
    <w:rsid w:val="00710D3C"/>
    <w:rsid w:val="00722803"/>
    <w:rsid w:val="00737716"/>
    <w:rsid w:val="00743287"/>
    <w:rsid w:val="0074579C"/>
    <w:rsid w:val="00753DB6"/>
    <w:rsid w:val="007553A8"/>
    <w:rsid w:val="00763847"/>
    <w:rsid w:val="00765882"/>
    <w:rsid w:val="00771FE3"/>
    <w:rsid w:val="00776BDE"/>
    <w:rsid w:val="00786870"/>
    <w:rsid w:val="00792237"/>
    <w:rsid w:val="0079272A"/>
    <w:rsid w:val="007A1DA9"/>
    <w:rsid w:val="007B2252"/>
    <w:rsid w:val="007B79D9"/>
    <w:rsid w:val="007C67B1"/>
    <w:rsid w:val="007D28A6"/>
    <w:rsid w:val="007E354A"/>
    <w:rsid w:val="007E69C8"/>
    <w:rsid w:val="00801FE9"/>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07E5"/>
    <w:rsid w:val="008E11AE"/>
    <w:rsid w:val="008E1708"/>
    <w:rsid w:val="008E4844"/>
    <w:rsid w:val="00904492"/>
    <w:rsid w:val="00904DFB"/>
    <w:rsid w:val="0091288E"/>
    <w:rsid w:val="0091457B"/>
    <w:rsid w:val="00923763"/>
    <w:rsid w:val="00930ED6"/>
    <w:rsid w:val="0093293F"/>
    <w:rsid w:val="00933105"/>
    <w:rsid w:val="00946602"/>
    <w:rsid w:val="009474EF"/>
    <w:rsid w:val="00962626"/>
    <w:rsid w:val="009630E7"/>
    <w:rsid w:val="009767DD"/>
    <w:rsid w:val="00977AF2"/>
    <w:rsid w:val="00985FC5"/>
    <w:rsid w:val="00993BDD"/>
    <w:rsid w:val="009A6DFB"/>
    <w:rsid w:val="009B6EC0"/>
    <w:rsid w:val="009C144B"/>
    <w:rsid w:val="009C7FAF"/>
    <w:rsid w:val="009D4199"/>
    <w:rsid w:val="009E5E6A"/>
    <w:rsid w:val="009F0DD5"/>
    <w:rsid w:val="009F1B95"/>
    <w:rsid w:val="009F6C05"/>
    <w:rsid w:val="00A13CB6"/>
    <w:rsid w:val="00A14A1A"/>
    <w:rsid w:val="00A224C6"/>
    <w:rsid w:val="00A22CDD"/>
    <w:rsid w:val="00A25AEE"/>
    <w:rsid w:val="00A31EB1"/>
    <w:rsid w:val="00A33AEA"/>
    <w:rsid w:val="00A461CD"/>
    <w:rsid w:val="00A469C5"/>
    <w:rsid w:val="00A5317D"/>
    <w:rsid w:val="00A6284E"/>
    <w:rsid w:val="00A631B0"/>
    <w:rsid w:val="00A63E81"/>
    <w:rsid w:val="00A8775A"/>
    <w:rsid w:val="00AA5998"/>
    <w:rsid w:val="00AB07E7"/>
    <w:rsid w:val="00AC25B0"/>
    <w:rsid w:val="00AD1BA8"/>
    <w:rsid w:val="00B0172F"/>
    <w:rsid w:val="00B02A29"/>
    <w:rsid w:val="00B03522"/>
    <w:rsid w:val="00B04AD6"/>
    <w:rsid w:val="00B14CAA"/>
    <w:rsid w:val="00B257CE"/>
    <w:rsid w:val="00B3101B"/>
    <w:rsid w:val="00B364CD"/>
    <w:rsid w:val="00B4746C"/>
    <w:rsid w:val="00B65354"/>
    <w:rsid w:val="00B71A0E"/>
    <w:rsid w:val="00B81765"/>
    <w:rsid w:val="00B832F5"/>
    <w:rsid w:val="00BA2FAB"/>
    <w:rsid w:val="00BB5E28"/>
    <w:rsid w:val="00BD15F3"/>
    <w:rsid w:val="00BD7986"/>
    <w:rsid w:val="00BD79D3"/>
    <w:rsid w:val="00BE26EA"/>
    <w:rsid w:val="00C04F82"/>
    <w:rsid w:val="00C15AC0"/>
    <w:rsid w:val="00C26030"/>
    <w:rsid w:val="00C41091"/>
    <w:rsid w:val="00C60778"/>
    <w:rsid w:val="00C63056"/>
    <w:rsid w:val="00C661D1"/>
    <w:rsid w:val="00C75D01"/>
    <w:rsid w:val="00C775BA"/>
    <w:rsid w:val="00C85331"/>
    <w:rsid w:val="00C85A50"/>
    <w:rsid w:val="00C94D46"/>
    <w:rsid w:val="00CA13B1"/>
    <w:rsid w:val="00CA443A"/>
    <w:rsid w:val="00CB2461"/>
    <w:rsid w:val="00CB37FD"/>
    <w:rsid w:val="00CC32E3"/>
    <w:rsid w:val="00CC4D65"/>
    <w:rsid w:val="00CC61E7"/>
    <w:rsid w:val="00CD0F2D"/>
    <w:rsid w:val="00CD25AD"/>
    <w:rsid w:val="00CD3FFC"/>
    <w:rsid w:val="00CF565C"/>
    <w:rsid w:val="00D016A3"/>
    <w:rsid w:val="00D238C1"/>
    <w:rsid w:val="00D512E3"/>
    <w:rsid w:val="00D602C9"/>
    <w:rsid w:val="00D8766B"/>
    <w:rsid w:val="00D879B1"/>
    <w:rsid w:val="00DA26A9"/>
    <w:rsid w:val="00DB01FF"/>
    <w:rsid w:val="00DC5CFE"/>
    <w:rsid w:val="00DC7778"/>
    <w:rsid w:val="00DD069A"/>
    <w:rsid w:val="00DE494A"/>
    <w:rsid w:val="00DE7391"/>
    <w:rsid w:val="00DF2DB5"/>
    <w:rsid w:val="00DF6560"/>
    <w:rsid w:val="00E04CC0"/>
    <w:rsid w:val="00E136FF"/>
    <w:rsid w:val="00E233CD"/>
    <w:rsid w:val="00E32528"/>
    <w:rsid w:val="00E35BF5"/>
    <w:rsid w:val="00E35F26"/>
    <w:rsid w:val="00E53165"/>
    <w:rsid w:val="00E61EF7"/>
    <w:rsid w:val="00E663B4"/>
    <w:rsid w:val="00E80CEB"/>
    <w:rsid w:val="00EA5103"/>
    <w:rsid w:val="00EA5545"/>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77B0E"/>
    <w:rsid w:val="00F9272E"/>
    <w:rsid w:val="00F97743"/>
    <w:rsid w:val="00FA6DAF"/>
    <w:rsid w:val="00FB718E"/>
    <w:rsid w:val="00FC24F1"/>
    <w:rsid w:val="00FC6884"/>
    <w:rsid w:val="00FE3C04"/>
    <w:rsid w:val="00FE62F3"/>
    <w:rsid w:val="00FF71D2"/>
    <w:rsid w:val="0C4F2692"/>
    <w:rsid w:val="0F59314D"/>
    <w:rsid w:val="111613D0"/>
    <w:rsid w:val="113B43A3"/>
    <w:rsid w:val="19913899"/>
    <w:rsid w:val="1B2418A5"/>
    <w:rsid w:val="1DBD26D8"/>
    <w:rsid w:val="1FBFC074"/>
    <w:rsid w:val="21DF65FA"/>
    <w:rsid w:val="2AAE6538"/>
    <w:rsid w:val="2CB25B4A"/>
    <w:rsid w:val="30457D7D"/>
    <w:rsid w:val="310A673E"/>
    <w:rsid w:val="321A4CAC"/>
    <w:rsid w:val="369B398C"/>
    <w:rsid w:val="36FB9E1F"/>
    <w:rsid w:val="37B82BBD"/>
    <w:rsid w:val="38DA74D4"/>
    <w:rsid w:val="3BFA3B96"/>
    <w:rsid w:val="3C512802"/>
    <w:rsid w:val="3CEF3472"/>
    <w:rsid w:val="3D7523E4"/>
    <w:rsid w:val="3EFF16E9"/>
    <w:rsid w:val="3F430C5D"/>
    <w:rsid w:val="42664A22"/>
    <w:rsid w:val="46C25C3E"/>
    <w:rsid w:val="47446A5B"/>
    <w:rsid w:val="4A173356"/>
    <w:rsid w:val="523D58AA"/>
    <w:rsid w:val="531E67A2"/>
    <w:rsid w:val="5507618C"/>
    <w:rsid w:val="56570706"/>
    <w:rsid w:val="56CB2A1D"/>
    <w:rsid w:val="582473AA"/>
    <w:rsid w:val="5E622BAC"/>
    <w:rsid w:val="5F2C4A61"/>
    <w:rsid w:val="657367CA"/>
    <w:rsid w:val="6B1B4BA1"/>
    <w:rsid w:val="70B9601A"/>
    <w:rsid w:val="726703EA"/>
    <w:rsid w:val="738D470C"/>
    <w:rsid w:val="77105A95"/>
    <w:rsid w:val="779D2889"/>
    <w:rsid w:val="77CD4F09"/>
    <w:rsid w:val="77CF73AC"/>
    <w:rsid w:val="78FF0116"/>
    <w:rsid w:val="7BC44A48"/>
    <w:rsid w:val="7D5FE565"/>
    <w:rsid w:val="B7DDD54D"/>
    <w:rsid w:val="E3FFE6ED"/>
    <w:rsid w:val="F5DB8A63"/>
    <w:rsid w:val="F797912E"/>
    <w:rsid w:val="FE7B4896"/>
    <w:rsid w:val="FFEE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alloon Text"/>
    <w:basedOn w:val="1"/>
    <w:link w:val="24"/>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3"/>
    <w:qFormat/>
    <w:uiPriority w:val="0"/>
    <w:rPr>
      <w:b/>
      <w:bCs/>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_Style 6"/>
    <w:basedOn w:val="1"/>
    <w:qFormat/>
    <w:uiPriority w:val="34"/>
    <w:pPr>
      <w:ind w:firstLine="420" w:firstLineChars="200"/>
    </w:pPr>
    <w:rPr>
      <w:rFonts w:ascii="Calibri" w:hAnsi="Calibri"/>
      <w:szCs w:val="22"/>
    </w:rPr>
  </w:style>
  <w:style w:type="paragraph" w:customStyle="1" w:styleId="14">
    <w:name w:val="Char Char Char"/>
    <w:basedOn w:val="1"/>
    <w:qFormat/>
    <w:uiPriority w:val="0"/>
    <w:rPr>
      <w:szCs w:val="21"/>
    </w:rPr>
  </w:style>
  <w:style w:type="paragraph" w:customStyle="1" w:styleId="15">
    <w:name w:val="Char Char Char Char Char Char Char Char Char Char Char Char Char Char Char Char"/>
    <w:basedOn w:val="1"/>
    <w:qFormat/>
    <w:uiPriority w:val="0"/>
  </w:style>
  <w:style w:type="paragraph" w:customStyle="1" w:styleId="16">
    <w:name w:val="Char Char Char1"/>
    <w:basedOn w:val="1"/>
    <w:qFormat/>
    <w:uiPriority w:val="0"/>
  </w:style>
  <w:style w:type="character" w:customStyle="1" w:styleId="17">
    <w:name w:val="页脚 字符"/>
    <w:basedOn w:val="10"/>
    <w:link w:val="4"/>
    <w:qFormat/>
    <w:uiPriority w:val="0"/>
    <w:rPr>
      <w:kern w:val="2"/>
      <w:sz w:val="18"/>
      <w:szCs w:val="18"/>
    </w:rPr>
  </w:style>
  <w:style w:type="character" w:customStyle="1" w:styleId="18">
    <w:name w:val="页眉 字符"/>
    <w:basedOn w:val="10"/>
    <w:link w:val="5"/>
    <w:qFormat/>
    <w:uiPriority w:val="0"/>
    <w:rPr>
      <w:kern w:val="2"/>
      <w:sz w:val="18"/>
      <w:szCs w:val="18"/>
    </w:rPr>
  </w:style>
  <w:style w:type="paragraph" w:customStyle="1" w:styleId="19">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22">
    <w:name w:val="批注文字 字符"/>
    <w:basedOn w:val="10"/>
    <w:link w:val="2"/>
    <w:qFormat/>
    <w:uiPriority w:val="0"/>
    <w:rPr>
      <w:kern w:val="2"/>
      <w:sz w:val="21"/>
      <w:szCs w:val="24"/>
    </w:rPr>
  </w:style>
  <w:style w:type="character" w:customStyle="1" w:styleId="23">
    <w:name w:val="批注主题 字符"/>
    <w:basedOn w:val="22"/>
    <w:link w:val="8"/>
    <w:qFormat/>
    <w:uiPriority w:val="0"/>
    <w:rPr>
      <w:b/>
      <w:bCs/>
      <w:kern w:val="2"/>
      <w:sz w:val="21"/>
      <w:szCs w:val="24"/>
    </w:rPr>
  </w:style>
  <w:style w:type="character" w:customStyle="1" w:styleId="24">
    <w:name w:val="批注框文本 字符"/>
    <w:basedOn w:val="10"/>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5e1d98a5-4ae2-4abe-b143-4e0d526a4e31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2A6AA0E</paraID>
      <start>0</start>
      <end>2</end>
      <status>unmodified</status>
      <modifiedWord/>
      <trackRevisions>false</trackRevisions>
    </reviewItem>
    <reviewItem>
      <errorID>60cd5684-03c7-4b52-9417-473467f4c169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1B95B8EA</paraID>
      <start>0</start>
      <end>2</end>
      <status>unmodified</status>
      <modifiedWord/>
      <trackRevisions>false</trackRevisions>
    </reviewItem>
    <reviewItem>
      <errorID>a500c888-1adf-48b9-b506-9fadc0a5dc2b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54CF6926</paraID>
      <start>0</start>
      <end>2</end>
      <status>unmodified</status>
      <modifiedWord/>
      <trackRevisions>false</trackRevisions>
    </reviewItem>
    <reviewItem>
      <errorID>6911b232-31da-42e8-a8d7-c1d38a4285ad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132CB63F</paraID>
      <start>0</start>
      <end>2</end>
      <status>unmodified</status>
      <modifiedWord/>
      <trackRevisions>false</trackRevisions>
    </reviewItem>
    <reviewItem>
      <errorID>298a7b59-527a-454e-959e-14c0097821ee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BE961FB</paraID>
      <start>0</start>
      <end>2</end>
      <status>unmodified</status>
      <modifiedWord/>
      <trackRevisions>false</trackRevisions>
    </reviewItem>
    <reviewItem>
      <errorID>121863b1-77c4-4e5b-ba19-e017638f9438</errorID>
      <errorWord>司</errorWord>
      <group>L1_Word</group>
      <groupName>字词问题</groupName>
      <ability>L2_Typo</ability>
      <abilityName>字词错误</abilityName>
      <candidateList>
        <item>司将</item>
      </candidateList>
      <explain/>
      <paraID>5BC91734</paraID>
      <start>97</start>
      <end>98</end>
      <status>unmodified</status>
      <modifiedWord/>
      <trackRevisions>false</trackRevisions>
    </reviewItem>
    <reviewItem>
      <errorID>01e43c70-b446-4764-87ad-7389163deb7d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39ACE2EE</paraID>
      <start>0</start>
      <end>2</end>
      <status>unmodified</status>
      <modifiedWord/>
      <trackRevisions>false</trackRevisions>
    </reviewItem>
    <reviewItem>
      <errorID>db454fa0-b547-4ceb-aa28-9f759d373d3a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3CDA0A85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003d5093-17ce-4b90-85b7-01722d827e0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1404</Words>
  <Characters>1454</Characters>
  <Lines>11</Lines>
  <Paragraphs>3</Paragraphs>
  <TotalTime>19</TotalTime>
  <ScaleCrop>false</ScaleCrop>
  <LinksUpToDate>false</LinksUpToDate>
  <CharactersWithSpaces>1543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2026-05-22T08:28:00Z</dcterms:created>
  <dc:creator>微软用户</dc:creator>
  <cp:lastModifiedBy>Lavender~Q  </cp:lastModifiedBy>
  <cp:lastPrinted>2025-12-30T09:30:00Z</cp:lastPrinted>
  <dcterms:modified xsi:type="dcterms:W3CDTF">2026-05-22T08:57:29Z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6A19F962C7F1420292041BE53BFDCF00_13</vt:lpwstr>
  </property>
  <property fmtid="{D5CDD505-2E9C-101B-9397-08002B2CF9AE}" pid="4" name="KSOTemplateDocerSaveRecord">
    <vt:lpwstr>eyJoZGlkIjoiN2UwOWQ1ODNjYjVjNzlmYjVhOTI0NTY1NDk0NTQ4YTMiLCJ1c2VySWQiOiIyNzI1NjM5MjcifQ==</vt:lpwstr>
  </property>
</Properties>
</file>