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6DA2" w14:textId="77777777" w:rsidR="002F582D"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600807</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济高发展</w:t>
      </w:r>
    </w:p>
    <w:p w14:paraId="2C33C2D5" w14:textId="77777777" w:rsidR="002F582D" w:rsidRDefault="00000000">
      <w:pPr>
        <w:jc w:val="center"/>
        <w:rPr>
          <w:rFonts w:ascii="黑体" w:eastAsia="黑体" w:hAnsi="黑体" w:hint="eastAsia"/>
          <w:sz w:val="36"/>
          <w:szCs w:val="36"/>
        </w:rPr>
      </w:pPr>
      <w:r>
        <w:rPr>
          <w:rFonts w:ascii="黑体" w:eastAsia="黑体" w:hAnsi="黑体" w:hint="eastAsia"/>
          <w:sz w:val="36"/>
          <w:szCs w:val="36"/>
        </w:rPr>
        <w:t>济南高新发展股份有限公司</w:t>
      </w:r>
    </w:p>
    <w:p w14:paraId="58C63D32" w14:textId="77777777" w:rsidR="002F582D"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48267C82" w14:textId="77777777" w:rsidR="002F582D" w:rsidRDefault="002F582D">
      <w:pPr>
        <w:jc w:val="center"/>
        <w:rPr>
          <w:rFonts w:ascii="黑体" w:eastAsia="黑体" w:hAnsi="黑体" w:hint="eastAsia"/>
          <w:sz w:val="24"/>
          <w:szCs w:val="24"/>
        </w:rPr>
      </w:pPr>
    </w:p>
    <w:p w14:paraId="07835CCC" w14:textId="6A179B6A" w:rsidR="002F582D" w:rsidRDefault="00000000">
      <w:pPr>
        <w:ind w:right="720"/>
        <w:jc w:val="right"/>
        <w:rPr>
          <w:rFonts w:ascii="黑体" w:eastAsia="黑体" w:hAnsi="黑体" w:hint="eastAsia"/>
          <w:sz w:val="24"/>
          <w:szCs w:val="24"/>
        </w:rPr>
      </w:pPr>
      <w:r>
        <w:rPr>
          <w:rFonts w:ascii="黑体" w:eastAsia="黑体" w:hAnsi="黑体" w:hint="eastAsia"/>
          <w:sz w:val="24"/>
          <w:szCs w:val="24"/>
        </w:rPr>
        <w:t>编号：</w:t>
      </w:r>
      <w:r w:rsidR="00206F39">
        <w:rPr>
          <w:rFonts w:ascii="黑体" w:eastAsia="黑体" w:hAnsi="黑体" w:hint="eastAsia"/>
          <w:sz w:val="24"/>
          <w:szCs w:val="24"/>
        </w:rPr>
        <w:t xml:space="preserve"> </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2F582D" w14:paraId="30988D60" w14:textId="77777777">
        <w:trPr>
          <w:trHeight w:val="838"/>
        </w:trPr>
        <w:tc>
          <w:tcPr>
            <w:tcW w:w="1526" w:type="dxa"/>
            <w:vAlign w:val="center"/>
          </w:tcPr>
          <w:p w14:paraId="558BC238" w14:textId="77777777" w:rsidR="002F582D" w:rsidRDefault="00000000">
            <w:pPr>
              <w:rPr>
                <w:sz w:val="24"/>
                <w:szCs w:val="24"/>
              </w:rPr>
            </w:pPr>
            <w:r>
              <w:rPr>
                <w:rFonts w:hint="eastAsia"/>
                <w:sz w:val="24"/>
                <w:szCs w:val="24"/>
              </w:rPr>
              <w:t>投资者关系活动类别</w:t>
            </w:r>
          </w:p>
        </w:tc>
        <w:tc>
          <w:tcPr>
            <w:tcW w:w="7191" w:type="dxa"/>
            <w:vAlign w:val="center"/>
          </w:tcPr>
          <w:p w14:paraId="6DA6BC74" w14:textId="77777777" w:rsidR="002F582D" w:rsidRDefault="00000000">
            <w:pPr>
              <w:spacing w:line="360" w:lineRule="auto"/>
              <w:rPr>
                <w:sz w:val="24"/>
                <w:szCs w:val="24"/>
              </w:rPr>
            </w:pPr>
            <w:r>
              <w:rPr>
                <w:rFonts w:ascii="宋体" w:hAnsi="宋体" w:cs="宋体" w:hint="eastAsia"/>
                <w:sz w:val="24"/>
                <w:szCs w:val="24"/>
              </w:rPr>
              <w:t>业绩说明会</w:t>
            </w:r>
          </w:p>
        </w:tc>
      </w:tr>
      <w:tr w:rsidR="002F582D" w14:paraId="2701F3FF" w14:textId="77777777">
        <w:trPr>
          <w:trHeight w:val="838"/>
        </w:trPr>
        <w:tc>
          <w:tcPr>
            <w:tcW w:w="1526" w:type="dxa"/>
            <w:vAlign w:val="center"/>
          </w:tcPr>
          <w:p w14:paraId="6774709E" w14:textId="77777777" w:rsidR="002F582D" w:rsidRDefault="00000000">
            <w:pPr>
              <w:rPr>
                <w:sz w:val="24"/>
                <w:szCs w:val="24"/>
              </w:rPr>
            </w:pPr>
            <w:r>
              <w:rPr>
                <w:rFonts w:hint="eastAsia"/>
                <w:sz w:val="24"/>
                <w:szCs w:val="24"/>
              </w:rPr>
              <w:t>活动主题</w:t>
            </w:r>
          </w:p>
        </w:tc>
        <w:tc>
          <w:tcPr>
            <w:tcW w:w="7191" w:type="dxa"/>
            <w:vAlign w:val="center"/>
          </w:tcPr>
          <w:p w14:paraId="791147F1" w14:textId="77777777" w:rsidR="002F582D" w:rsidRDefault="00000000">
            <w:pPr>
              <w:rPr>
                <w:sz w:val="24"/>
                <w:szCs w:val="24"/>
              </w:rPr>
            </w:pPr>
            <w:r>
              <w:rPr>
                <w:rFonts w:ascii="宋体" w:hAnsi="宋体" w:cs="宋体" w:hint="eastAsia"/>
                <w:bCs/>
                <w:iCs/>
                <w:color w:val="000000"/>
                <w:sz w:val="24"/>
                <w:lang w:val="en-GB"/>
              </w:rPr>
              <w:t>济高发展2025年年度业绩说明会</w:t>
            </w:r>
          </w:p>
        </w:tc>
      </w:tr>
      <w:tr w:rsidR="002F582D" w14:paraId="571DF7AD" w14:textId="77777777">
        <w:trPr>
          <w:trHeight w:val="799"/>
        </w:trPr>
        <w:tc>
          <w:tcPr>
            <w:tcW w:w="1526" w:type="dxa"/>
            <w:vAlign w:val="center"/>
          </w:tcPr>
          <w:p w14:paraId="10FA3277" w14:textId="77777777" w:rsidR="002F582D" w:rsidRDefault="00000000">
            <w:pPr>
              <w:rPr>
                <w:sz w:val="24"/>
                <w:szCs w:val="24"/>
              </w:rPr>
            </w:pPr>
            <w:r>
              <w:rPr>
                <w:rFonts w:hint="eastAsia"/>
                <w:sz w:val="24"/>
                <w:szCs w:val="24"/>
              </w:rPr>
              <w:t>时间</w:t>
            </w:r>
          </w:p>
        </w:tc>
        <w:tc>
          <w:tcPr>
            <w:tcW w:w="7191" w:type="dxa"/>
            <w:vAlign w:val="center"/>
          </w:tcPr>
          <w:p w14:paraId="696EB4E0" w14:textId="2B680F14" w:rsidR="002F582D" w:rsidRDefault="00000000">
            <w:pPr>
              <w:rPr>
                <w:sz w:val="24"/>
                <w:szCs w:val="24"/>
              </w:rPr>
            </w:pPr>
            <w:r>
              <w:rPr>
                <w:rFonts w:ascii="宋体" w:hAnsi="宋体" w:cs="宋体" w:hint="eastAsia"/>
                <w:bCs/>
                <w:iCs/>
                <w:color w:val="000000"/>
                <w:sz w:val="24"/>
              </w:rPr>
              <w:t>2026</w:t>
            </w:r>
            <w:r w:rsidR="00206F39">
              <w:rPr>
                <w:rFonts w:ascii="宋体" w:hAnsi="宋体" w:cs="宋体" w:hint="eastAsia"/>
                <w:bCs/>
                <w:iCs/>
                <w:color w:val="000000"/>
                <w:sz w:val="24"/>
              </w:rPr>
              <w:t>年</w:t>
            </w:r>
            <w:r>
              <w:rPr>
                <w:rFonts w:ascii="宋体" w:hAnsi="宋体" w:cs="宋体" w:hint="eastAsia"/>
                <w:bCs/>
                <w:iCs/>
                <w:color w:val="000000"/>
                <w:sz w:val="24"/>
              </w:rPr>
              <w:t>5</w:t>
            </w:r>
            <w:r w:rsidR="00206F39">
              <w:rPr>
                <w:rFonts w:ascii="宋体" w:hAnsi="宋体" w:cs="宋体" w:hint="eastAsia"/>
                <w:bCs/>
                <w:iCs/>
                <w:color w:val="000000"/>
                <w:sz w:val="24"/>
              </w:rPr>
              <w:t>月</w:t>
            </w:r>
            <w:r>
              <w:rPr>
                <w:rFonts w:ascii="宋体" w:hAnsi="宋体" w:cs="宋体" w:hint="eastAsia"/>
                <w:bCs/>
                <w:iCs/>
                <w:color w:val="000000"/>
                <w:sz w:val="24"/>
              </w:rPr>
              <w:t>22</w:t>
            </w:r>
            <w:r w:rsidR="00206F39">
              <w:rPr>
                <w:rFonts w:ascii="宋体" w:hAnsi="宋体" w:cs="宋体" w:hint="eastAsia"/>
                <w:bCs/>
                <w:iCs/>
                <w:color w:val="000000"/>
                <w:sz w:val="24"/>
              </w:rPr>
              <w:t>日</w:t>
            </w:r>
            <w:r>
              <w:rPr>
                <w:rFonts w:ascii="宋体" w:hAnsi="宋体" w:cs="宋体" w:hint="eastAsia"/>
                <w:bCs/>
                <w:iCs/>
                <w:color w:val="000000"/>
                <w:sz w:val="24"/>
              </w:rPr>
              <w:t xml:space="preserve"> 10:00-11:00</w:t>
            </w:r>
          </w:p>
        </w:tc>
      </w:tr>
      <w:tr w:rsidR="002F582D" w14:paraId="63AFE6DB" w14:textId="77777777">
        <w:trPr>
          <w:trHeight w:val="838"/>
        </w:trPr>
        <w:tc>
          <w:tcPr>
            <w:tcW w:w="1526" w:type="dxa"/>
            <w:vAlign w:val="center"/>
          </w:tcPr>
          <w:p w14:paraId="33B37CD1" w14:textId="77777777" w:rsidR="002F582D"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71136C86" w14:textId="77777777" w:rsidR="00206F39" w:rsidRDefault="00000000">
            <w:pPr>
              <w:jc w:val="left"/>
              <w:rPr>
                <w:rStyle w:val="a5"/>
                <w:rFonts w:ascii="宋体" w:hAnsi="宋体" w:hint="eastAsia"/>
                <w:bCs/>
                <w:sz w:val="24"/>
                <w:u w:val="none"/>
              </w:rPr>
            </w:pPr>
            <w:r>
              <w:rPr>
                <w:rFonts w:ascii="宋体" w:hAnsi="宋体" w:hint="eastAsia"/>
                <w:bCs/>
                <w:sz w:val="24"/>
              </w:rPr>
              <w:t xml:space="preserve">上证路演中心 </w:t>
            </w:r>
            <w:hyperlink r:id="rId6" w:history="1">
              <w:r w:rsidR="00206F39">
                <w:rPr>
                  <w:rStyle w:val="a5"/>
                  <w:rFonts w:ascii="宋体" w:hAnsi="宋体" w:hint="eastAsia"/>
                  <w:bCs/>
                  <w:sz w:val="24"/>
                  <w:u w:val="none"/>
                </w:rPr>
                <w:t>https://roadshow.sseinfo.com</w:t>
              </w:r>
            </w:hyperlink>
          </w:p>
          <w:p w14:paraId="26F36D2C" w14:textId="7C58ADE0" w:rsidR="002F582D" w:rsidRDefault="00000000">
            <w:pPr>
              <w:jc w:val="left"/>
              <w:rPr>
                <w:rFonts w:ascii="宋体" w:hAnsi="宋体" w:hint="eastAsia"/>
                <w:bCs/>
                <w:sz w:val="24"/>
              </w:rPr>
            </w:pPr>
            <w:r>
              <w:rPr>
                <w:rFonts w:ascii="宋体" w:hAnsi="宋体" w:hint="eastAsia"/>
                <w:bCs/>
                <w:sz w:val="24"/>
              </w:rPr>
              <w:t>网络文字互动</w:t>
            </w:r>
          </w:p>
        </w:tc>
      </w:tr>
      <w:tr w:rsidR="002F582D" w14:paraId="71E4E877" w14:textId="77777777">
        <w:trPr>
          <w:trHeight w:val="838"/>
        </w:trPr>
        <w:tc>
          <w:tcPr>
            <w:tcW w:w="1526" w:type="dxa"/>
            <w:vAlign w:val="center"/>
          </w:tcPr>
          <w:p w14:paraId="6E385066" w14:textId="77777777" w:rsidR="002F582D" w:rsidRDefault="00000000">
            <w:pPr>
              <w:rPr>
                <w:sz w:val="24"/>
                <w:szCs w:val="24"/>
              </w:rPr>
            </w:pPr>
            <w:r>
              <w:rPr>
                <w:rFonts w:hint="eastAsia"/>
                <w:sz w:val="24"/>
                <w:szCs w:val="24"/>
              </w:rPr>
              <w:t>参会人员</w:t>
            </w:r>
          </w:p>
        </w:tc>
        <w:tc>
          <w:tcPr>
            <w:tcW w:w="7191" w:type="dxa"/>
            <w:vAlign w:val="center"/>
          </w:tcPr>
          <w:p w14:paraId="01714807" w14:textId="771719D7" w:rsidR="002F582D" w:rsidRDefault="00000000">
            <w:pPr>
              <w:spacing w:line="360" w:lineRule="auto"/>
              <w:rPr>
                <w:sz w:val="24"/>
                <w:szCs w:val="24"/>
              </w:rPr>
            </w:pPr>
            <w:r>
              <w:rPr>
                <w:rFonts w:ascii="宋体" w:hAnsi="宋体" w:cs="宋体" w:hint="eastAsia"/>
                <w:sz w:val="24"/>
                <w:szCs w:val="24"/>
              </w:rPr>
              <w:t>董事长孙英才</w:t>
            </w:r>
            <w:r w:rsidR="00206F39">
              <w:rPr>
                <w:rFonts w:ascii="宋体" w:hAnsi="宋体" w:cs="宋体" w:hint="eastAsia"/>
                <w:sz w:val="24"/>
                <w:szCs w:val="24"/>
              </w:rPr>
              <w:t>；</w:t>
            </w:r>
            <w:r>
              <w:rPr>
                <w:rFonts w:ascii="宋体" w:hAnsi="宋体" w:cs="宋体" w:hint="eastAsia"/>
                <w:sz w:val="24"/>
                <w:szCs w:val="24"/>
              </w:rPr>
              <w:t>独立董事、审计委员会主任委员郑伟</w:t>
            </w:r>
            <w:r w:rsidR="00206F39">
              <w:rPr>
                <w:rFonts w:ascii="宋体" w:hAnsi="宋体" w:cs="宋体" w:hint="eastAsia"/>
                <w:sz w:val="24"/>
                <w:szCs w:val="24"/>
              </w:rPr>
              <w:t>；</w:t>
            </w:r>
            <w:r>
              <w:rPr>
                <w:rFonts w:ascii="宋体" w:hAnsi="宋体" w:cs="宋体" w:hint="eastAsia"/>
                <w:sz w:val="24"/>
                <w:szCs w:val="24"/>
              </w:rPr>
              <w:t>董事、董事会秘书郭继明</w:t>
            </w:r>
            <w:r w:rsidR="00206F39">
              <w:rPr>
                <w:rFonts w:ascii="宋体" w:hAnsi="宋体" w:cs="宋体" w:hint="eastAsia"/>
                <w:sz w:val="24"/>
                <w:szCs w:val="24"/>
              </w:rPr>
              <w:t>；</w:t>
            </w:r>
            <w:r>
              <w:rPr>
                <w:rFonts w:ascii="宋体" w:hAnsi="宋体" w:cs="宋体" w:hint="eastAsia"/>
                <w:sz w:val="24"/>
                <w:szCs w:val="24"/>
              </w:rPr>
              <w:t>财务总监雷学锋</w:t>
            </w:r>
          </w:p>
        </w:tc>
      </w:tr>
      <w:tr w:rsidR="002F582D" w14:paraId="5C96E4CA" w14:textId="77777777">
        <w:trPr>
          <w:trHeight w:val="557"/>
        </w:trPr>
        <w:tc>
          <w:tcPr>
            <w:tcW w:w="1526" w:type="dxa"/>
            <w:vAlign w:val="center"/>
          </w:tcPr>
          <w:p w14:paraId="75B718B6" w14:textId="77777777" w:rsidR="002F582D" w:rsidRDefault="00000000">
            <w:pPr>
              <w:rPr>
                <w:sz w:val="24"/>
                <w:szCs w:val="24"/>
              </w:rPr>
            </w:pPr>
            <w:r>
              <w:rPr>
                <w:rFonts w:hint="eastAsia"/>
                <w:sz w:val="24"/>
                <w:szCs w:val="24"/>
              </w:rPr>
              <w:t>投资者关系活动主要内容介绍</w:t>
            </w:r>
          </w:p>
        </w:tc>
        <w:tc>
          <w:tcPr>
            <w:tcW w:w="7191" w:type="dxa"/>
          </w:tcPr>
          <w:p w14:paraId="2D49E2EA" w14:textId="6EDF8BB7" w:rsidR="00206F39" w:rsidRDefault="00942754">
            <w:pPr>
              <w:spacing w:line="360" w:lineRule="auto"/>
              <w:ind w:firstLineChars="200" w:firstLine="480"/>
              <w:rPr>
                <w:rFonts w:ascii="宋体" w:hAnsi="宋体" w:hint="eastAsia"/>
                <w:sz w:val="24"/>
              </w:rPr>
            </w:pPr>
            <w:r>
              <w:rPr>
                <w:rFonts w:ascii="宋体" w:hAnsi="宋体" w:hint="eastAsia"/>
                <w:sz w:val="24"/>
              </w:rPr>
              <w:t>1</w:t>
            </w:r>
            <w:r w:rsidR="00206F39">
              <w:rPr>
                <w:rFonts w:ascii="宋体" w:hAnsi="宋体" w:hint="eastAsia"/>
                <w:sz w:val="24"/>
              </w:rPr>
              <w:t>、</w:t>
            </w:r>
            <w:r w:rsidR="00206F39">
              <w:rPr>
                <w:rFonts w:ascii="宋体" w:hAnsi="宋体"/>
                <w:sz w:val="24"/>
              </w:rPr>
              <w:t>济高发展的新一任领导班子都在大股东或济高控股集团下属重要企业担任</w:t>
            </w:r>
            <w:r w:rsidR="00A83132">
              <w:rPr>
                <w:rFonts w:ascii="宋体" w:hAnsi="宋体" w:hint="eastAsia"/>
                <w:sz w:val="24"/>
              </w:rPr>
              <w:t>职务</w:t>
            </w:r>
            <w:r w:rsidR="00206F39">
              <w:rPr>
                <w:rFonts w:ascii="宋体" w:hAnsi="宋体"/>
                <w:sz w:val="24"/>
              </w:rPr>
              <w:t>，并且大股东豁免了公司数亿的债务，可以看出集团对上市公司的重视，那么请问当前济高发展是如何定位的？</w:t>
            </w:r>
            <w:r>
              <w:rPr>
                <w:rFonts w:ascii="宋体" w:hAnsi="宋体" w:hint="eastAsia"/>
                <w:sz w:val="24"/>
              </w:rPr>
              <w:t xml:space="preserve"> </w:t>
            </w:r>
          </w:p>
          <w:p w14:paraId="1342F8AF" w14:textId="0B34DE81" w:rsidR="00206F39" w:rsidRDefault="00206F39">
            <w:pPr>
              <w:spacing w:line="360" w:lineRule="auto"/>
              <w:ind w:firstLineChars="200" w:firstLine="480"/>
              <w:rPr>
                <w:rFonts w:ascii="宋体" w:hAnsi="宋体" w:hint="eastAsia"/>
                <w:sz w:val="24"/>
              </w:rPr>
            </w:pPr>
            <w:r>
              <w:rPr>
                <w:rFonts w:ascii="宋体" w:hAnsi="宋体"/>
                <w:sz w:val="24"/>
              </w:rPr>
              <w:t>答:您好，感谢对公司的关注！公司控股股东一直积极支持公司发展，通过提供保证金、豁免债务、提供资金业务支持等方式，为公司遗留问题化解、实现可持续发展注入动力。2026年，公司将围绕高质量发展总体战略，统筹推进多元产业协同布局，坚持推动生命健康与其他业务协同、联动发展。持续夯实艾克韦生物体外诊断业务，大力推进关键设备国产化研发与迭代，稳步发展生物安全工程、医疗服务业务。持续巩固钢筋贸易、物业服务、园区运营等存量业务，并积极探索资产运营、产业去化新渠道、新模式。探索、推进相关产业并购重组，加快完善产业链与产业布局，实现公司可持续健康发展。</w:t>
            </w:r>
          </w:p>
          <w:p w14:paraId="2FCD566A" w14:textId="245D2ADE" w:rsidR="00206F39" w:rsidRDefault="00942754">
            <w:pPr>
              <w:spacing w:line="360" w:lineRule="auto"/>
              <w:ind w:firstLineChars="200" w:firstLine="480"/>
              <w:rPr>
                <w:rFonts w:ascii="宋体" w:hAnsi="宋体" w:hint="eastAsia"/>
                <w:sz w:val="24"/>
              </w:rPr>
            </w:pPr>
            <w:r>
              <w:rPr>
                <w:rFonts w:ascii="宋体" w:hAnsi="宋体" w:hint="eastAsia"/>
                <w:sz w:val="24"/>
              </w:rPr>
              <w:t>2</w:t>
            </w:r>
            <w:r w:rsidR="00206F39">
              <w:rPr>
                <w:rFonts w:ascii="宋体" w:hAnsi="宋体" w:hint="eastAsia"/>
                <w:sz w:val="24"/>
              </w:rPr>
              <w:t>、</w:t>
            </w:r>
            <w:r w:rsidR="00206F39">
              <w:rPr>
                <w:rFonts w:ascii="宋体" w:hAnsi="宋体"/>
                <w:sz w:val="24"/>
              </w:rPr>
              <w:t>根据目前的公司主营业务划分，未来的发展方向和定位以什么为主？有什么</w:t>
            </w:r>
            <w:r>
              <w:rPr>
                <w:rFonts w:ascii="宋体" w:hAnsi="宋体"/>
                <w:sz w:val="24"/>
              </w:rPr>
              <w:t>提高净利润</w:t>
            </w:r>
            <w:r w:rsidR="00206F39">
              <w:rPr>
                <w:rFonts w:ascii="宋体" w:hAnsi="宋体"/>
                <w:sz w:val="24"/>
              </w:rPr>
              <w:t>的计划？</w:t>
            </w:r>
            <w:r w:rsidR="007807F4">
              <w:rPr>
                <w:rFonts w:ascii="宋体" w:hAnsi="宋体" w:hint="eastAsia"/>
                <w:sz w:val="24"/>
              </w:rPr>
              <w:t xml:space="preserve"> </w:t>
            </w:r>
          </w:p>
          <w:p w14:paraId="3023365C" w14:textId="7DF87924" w:rsidR="002F582D" w:rsidRDefault="00206F39">
            <w:pPr>
              <w:spacing w:line="360" w:lineRule="auto"/>
              <w:ind w:firstLineChars="200" w:firstLine="480"/>
              <w:rPr>
                <w:rFonts w:ascii="宋体"/>
                <w:sz w:val="24"/>
              </w:rPr>
            </w:pPr>
            <w:r>
              <w:rPr>
                <w:rFonts w:ascii="宋体"/>
                <w:sz w:val="24"/>
              </w:rPr>
              <w:lastRenderedPageBreak/>
              <w:t>答：感谢您对公司的关注！2026 年，公司将围绕高质量发展总体战略，统筹推进多元产业协同布局，坚持推动生命健康与其他业务协同、联动发展，具体如下：生命健康产业方面，公司体外诊断业务载体艾克韦生物将继续推进传统业务转型和产品创新升级，完善产学研医相结合的技术创新体系，加大企业研发投入，加快原创性的成果转化。多渠道推动应收账款回收，并积极探索相关产业的投资与并购机会，加快夯实公司产业布局。其他业务协同发展方面，公司持续稳固钢筋贸易、物业服务、园区运营等存量业务，夯实发展底盘，实现存量业务平稳健康运行。同时探索资产运营、资产去化等新方向, 推动公司稳定发展。化解存量诉讼方面，目前公司尚需化解剩余存量诉讼，公司将积极推动诉讼及执行风险化解工作，力争尽快妥善解决存量涉诉案件，避免诉讼事项对公司的日常经营继续产生不利影响。具体内容详见公司于2026年4月30日披露的《2025年年度报告》。公司一直积极探索相关产业的投资与并购机会，储备投资项目，加快夯实公司产业布局。如有达到披露标准的并购项目，公司将严格按照上海证券交易所的相关规则，及时履行决策程序和信息披露义务。</w:t>
            </w:r>
          </w:p>
          <w:p w14:paraId="4CEB82DA" w14:textId="6DF68FA9" w:rsidR="00942754" w:rsidRDefault="00C72963" w:rsidP="00942754">
            <w:pPr>
              <w:spacing w:line="360" w:lineRule="auto"/>
              <w:ind w:firstLineChars="200" w:firstLine="480"/>
              <w:rPr>
                <w:rFonts w:ascii="宋体" w:hAnsi="宋体" w:hint="eastAsia"/>
              </w:rPr>
            </w:pPr>
            <w:r>
              <w:rPr>
                <w:rFonts w:ascii="宋体" w:hAnsi="宋体" w:hint="eastAsia"/>
                <w:sz w:val="24"/>
              </w:rPr>
              <w:t>3</w:t>
            </w:r>
            <w:r w:rsidR="00942754">
              <w:rPr>
                <w:rFonts w:ascii="宋体" w:hAnsi="宋体"/>
                <w:sz w:val="24"/>
              </w:rPr>
              <w:t>、去年底招投标平台两次发布了以艾克韦公司为招标主体的“济南高新区生物医药产业园公共服务平台及配套基础设施建设项目”招标预告，但是在预告的时间12月31日并没有正式发布招标公告，后续也没有动静了，这个项目是取消了么？新一届领导班子上任之后，是否已经停止了在艾克韦的投入、放弃了把生命健康产业作为主业发展的战略？谢谢</w:t>
            </w:r>
          </w:p>
          <w:p w14:paraId="7B53E576" w14:textId="43384854" w:rsidR="00942754" w:rsidRPr="00942754" w:rsidRDefault="00942754" w:rsidP="00942754">
            <w:pPr>
              <w:spacing w:line="360" w:lineRule="auto"/>
              <w:ind w:firstLineChars="200" w:firstLine="480"/>
              <w:rPr>
                <w:rFonts w:ascii="宋体" w:hAnsi="宋体" w:hint="eastAsia"/>
                <w:sz w:val="24"/>
              </w:rPr>
            </w:pPr>
            <w:r>
              <w:rPr>
                <w:rFonts w:ascii="宋体" w:hAnsi="宋体"/>
                <w:sz w:val="24"/>
              </w:rPr>
              <w:t>答:感谢您对公司的关注！公司及子公司的招投标事项均严格按照国家相关法律法规及公司内部管理制度，合法合规进行。2026年，公司将围绕高质量发展总体战略，统筹推进多元产业协同布局，坚持推动生命健康与其他业务协同、联动发展，具体内容详见公司于2026年4月30日披露的《2025年年度报告》。</w:t>
            </w:r>
          </w:p>
        </w:tc>
      </w:tr>
    </w:tbl>
    <w:p w14:paraId="23D3FC37" w14:textId="77777777" w:rsidR="002F582D" w:rsidRDefault="002F582D"/>
    <w:p w14:paraId="167F93DD" w14:textId="77777777" w:rsidR="002F582D" w:rsidRDefault="002F582D"/>
    <w:sectPr w:rsidR="002F582D">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63F4" w14:textId="77777777" w:rsidR="00A70ECA" w:rsidRDefault="00A70ECA">
      <w:r>
        <w:separator/>
      </w:r>
    </w:p>
  </w:endnote>
  <w:endnote w:type="continuationSeparator" w:id="0">
    <w:p w14:paraId="17CE4DB6" w14:textId="77777777" w:rsidR="00A70ECA" w:rsidRDefault="00A7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F92E" w14:textId="77777777" w:rsidR="00A70ECA" w:rsidRDefault="00A70ECA">
      <w:r>
        <w:separator/>
      </w:r>
    </w:p>
  </w:footnote>
  <w:footnote w:type="continuationSeparator" w:id="0">
    <w:p w14:paraId="416A9BED" w14:textId="77777777" w:rsidR="00A70ECA" w:rsidRDefault="00A7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E21" w14:textId="77777777" w:rsidR="002F582D" w:rsidRDefault="00000000">
    <w:pPr>
      <w:pStyle w:val="a3"/>
      <w:tabs>
        <w:tab w:val="clear" w:pos="4153"/>
      </w:tabs>
      <w:jc w:val="right"/>
    </w:pPr>
    <w:r>
      <w:rPr>
        <w:rFonts w:hint="eastAsia"/>
      </w:rPr>
      <w:t>济南高新发展股份有限公司投资者关系活动记录表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2F582D"/>
    <w:rsid w:val="00090556"/>
    <w:rsid w:val="00206F39"/>
    <w:rsid w:val="002F582D"/>
    <w:rsid w:val="00521946"/>
    <w:rsid w:val="005D2CC7"/>
    <w:rsid w:val="00721DCF"/>
    <w:rsid w:val="007807F4"/>
    <w:rsid w:val="00942754"/>
    <w:rsid w:val="00A70ECA"/>
    <w:rsid w:val="00A83132"/>
    <w:rsid w:val="00C72963"/>
    <w:rsid w:val="00D60ED6"/>
    <w:rsid w:val="00DD56CD"/>
    <w:rsid w:val="00E50A7F"/>
    <w:rsid w:val="00E7145B"/>
    <w:rsid w:val="00EE04E1"/>
    <w:rsid w:val="00F315E3"/>
    <w:rsid w:val="00F44092"/>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1265E"/>
  <w15:docId w15:val="{9B48811B-9571-4E4E-A0EE-49FDA673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7807F4"/>
    <w:pPr>
      <w:tabs>
        <w:tab w:val="center" w:pos="4153"/>
        <w:tab w:val="right" w:pos="8306"/>
      </w:tabs>
      <w:snapToGrid w:val="0"/>
      <w:jc w:val="left"/>
    </w:pPr>
    <w:rPr>
      <w:sz w:val="18"/>
      <w:szCs w:val="18"/>
    </w:rPr>
  </w:style>
  <w:style w:type="character" w:customStyle="1" w:styleId="a7">
    <w:name w:val="页脚 字符"/>
    <w:link w:val="a6"/>
    <w:rsid w:val="007807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766</Characters>
  <Application>Microsoft Office Word</Application>
  <DocSecurity>0</DocSecurity>
  <Lines>36</Lines>
  <Paragraphs>21</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sn w</cp:lastModifiedBy>
  <cp:revision>3</cp:revision>
  <dcterms:created xsi:type="dcterms:W3CDTF">2026-05-22T08:39:00Z</dcterms:created>
  <dcterms:modified xsi:type="dcterms:W3CDTF">2026-05-26T05:21:00Z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