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00D1A8"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证券代码：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603396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                                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                                             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     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公司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简称：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金辰股份</w:t>
      </w:r>
    </w:p>
    <w:p w14:paraId="1A9C44BE">
      <w:pPr>
        <w:spacing w:line="360" w:lineRule="auto"/>
        <w:ind w:left="204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营口金辰机械股份有限公司</w:t>
      </w:r>
    </w:p>
    <w:p w14:paraId="3B879402">
      <w:pPr>
        <w:spacing w:line="360" w:lineRule="auto"/>
        <w:ind w:left="204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2025年年度暨2026年第一季度业绩说明会记录表</w:t>
      </w:r>
    </w:p>
    <w:p w14:paraId="400091FB">
      <w:pPr>
        <w:ind w:left="204"/>
        <w:jc w:val="right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编号：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202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-0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9"/>
        <w:gridCol w:w="7283"/>
      </w:tblGrid>
      <w:tr w14:paraId="73FBE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atLeast"/>
          <w:jc w:val="center"/>
        </w:trPr>
        <w:tc>
          <w:tcPr>
            <w:tcW w:w="1254" w:type="pct"/>
            <w:shd w:val="clear" w:color="auto" w:fill="auto"/>
            <w:vAlign w:val="center"/>
          </w:tcPr>
          <w:p w14:paraId="54ACD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</w:rPr>
              <w:t>投资者关系活动类别</w:t>
            </w:r>
          </w:p>
        </w:tc>
        <w:tc>
          <w:tcPr>
            <w:tcW w:w="3745" w:type="pct"/>
            <w:shd w:val="clear" w:color="auto" w:fill="auto"/>
          </w:tcPr>
          <w:p w14:paraId="5DDB0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 w:after="0" w:line="360" w:lineRule="auto"/>
              <w:ind w:left="0" w:firstLine="480" w:firstLineChars="200"/>
              <w:textAlignment w:val="auto"/>
              <w:rPr>
                <w:rFonts w:hint="default"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iCs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特定对象调研        </w:t>
            </w:r>
            <w:r>
              <w:rPr>
                <w:rFonts w:hint="eastAsia" w:ascii="Times New Roman" w:hAnsi="Times New Roman" w:cs="Times New Roman"/>
                <w:bCs/>
                <w:iCs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分析师会议</w:t>
            </w:r>
          </w:p>
          <w:p w14:paraId="5E70A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 w:after="0" w:line="360" w:lineRule="auto"/>
              <w:ind w:left="0" w:firstLine="480" w:firstLineChars="200"/>
              <w:textAlignment w:val="auto"/>
              <w:rPr>
                <w:rFonts w:hint="default"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iCs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媒体采访   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iCs/>
                <w:sz w:val="24"/>
                <w:szCs w:val="24"/>
                <w:lang w:eastAsia="zh-CN"/>
              </w:rPr>
              <w:t>☑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业绩说明会</w:t>
            </w:r>
          </w:p>
          <w:p w14:paraId="2E023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 w:after="0" w:line="360" w:lineRule="auto"/>
              <w:ind w:left="0" w:firstLine="480" w:firstLineChars="200"/>
              <w:textAlignment w:val="auto"/>
              <w:rPr>
                <w:rFonts w:hint="default"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iCs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新闻发布会  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cs="Times New Roman"/>
                <w:bCs/>
                <w:iCs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路演活动</w:t>
            </w:r>
          </w:p>
          <w:p w14:paraId="426A5194">
            <w:pPr>
              <w:keepNext w:val="0"/>
              <w:keepLines w:val="0"/>
              <w:pageBreakBefore w:val="0"/>
              <w:widowControl w:val="0"/>
              <w:tabs>
                <w:tab w:val="left" w:pos="2690"/>
                <w:tab w:val="center" w:pos="319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 w:after="0" w:line="360" w:lineRule="auto"/>
              <w:ind w:left="0" w:firstLine="480" w:firstLineChars="200"/>
              <w:textAlignment w:val="auto"/>
              <w:rPr>
                <w:rFonts w:hint="default"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iCs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现场参观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电话会议</w:t>
            </w:r>
          </w:p>
          <w:p w14:paraId="09DDEA48">
            <w:pPr>
              <w:keepNext w:val="0"/>
              <w:keepLines w:val="0"/>
              <w:pageBreakBefore w:val="0"/>
              <w:widowControl w:val="0"/>
              <w:tabs>
                <w:tab w:val="center" w:pos="319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 w:after="0" w:line="360" w:lineRule="auto"/>
              <w:ind w:left="0" w:firstLine="480" w:firstLineChars="200"/>
              <w:textAlignment w:val="auto"/>
              <w:rPr>
                <w:rFonts w:hint="default"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Cs/>
                <w:iCs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其他（</w:t>
            </w:r>
            <w:r>
              <w:rPr>
                <w:rFonts w:hint="default" w:ascii="Times New Roman" w:hAnsi="Times New Roman" w:cs="Times New Roman"/>
                <w:sz w:val="24"/>
                <w:szCs w:val="24"/>
                <w:u w:val="single"/>
              </w:rPr>
              <w:t>请文字说明其他活动内容）</w:t>
            </w:r>
          </w:p>
        </w:tc>
      </w:tr>
      <w:tr w14:paraId="335F3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254" w:type="pct"/>
            <w:shd w:val="clear" w:color="auto" w:fill="auto"/>
            <w:vAlign w:val="center"/>
          </w:tcPr>
          <w:p w14:paraId="3947A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Cs/>
                <w:sz w:val="24"/>
                <w:szCs w:val="24"/>
                <w:lang w:val="en-US" w:eastAsia="zh-CN"/>
              </w:rPr>
              <w:t>活动主题</w:t>
            </w:r>
          </w:p>
        </w:tc>
        <w:tc>
          <w:tcPr>
            <w:tcW w:w="3745" w:type="pct"/>
            <w:shd w:val="clear" w:color="auto" w:fill="auto"/>
            <w:vAlign w:val="center"/>
          </w:tcPr>
          <w:p w14:paraId="2CD9FE0F">
            <w:pPr>
              <w:keepNext w:val="0"/>
              <w:keepLines w:val="0"/>
              <w:pageBreakBefore w:val="0"/>
              <w:widowControl w:val="0"/>
              <w:tabs>
                <w:tab w:val="center" w:pos="279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 w:after="0" w:line="360" w:lineRule="auto"/>
              <w:ind w:left="0" w:leftChars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金辰股份2025年年度暨2026年第一季度业绩说明会</w:t>
            </w:r>
          </w:p>
        </w:tc>
      </w:tr>
      <w:tr w14:paraId="53698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254" w:type="pct"/>
            <w:shd w:val="clear" w:color="auto" w:fill="auto"/>
            <w:vAlign w:val="center"/>
          </w:tcPr>
          <w:p w14:paraId="024A4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</w:rPr>
              <w:t>时间</w:t>
            </w:r>
          </w:p>
        </w:tc>
        <w:tc>
          <w:tcPr>
            <w:tcW w:w="3745" w:type="pct"/>
            <w:shd w:val="clear" w:color="auto" w:fill="auto"/>
            <w:vAlign w:val="center"/>
          </w:tcPr>
          <w:p w14:paraId="744E1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 w:after="0" w:line="360" w:lineRule="auto"/>
              <w:ind w:firstLine="480" w:firstLineChars="200"/>
              <w:textAlignment w:val="auto"/>
              <w:rPr>
                <w:rFonts w:hint="default"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202</w:t>
            </w:r>
            <w:r>
              <w:rPr>
                <w:rFonts w:hint="eastAsia" w:ascii="Times New Roman" w:hAnsi="Times New Roman" w:cs="Times New Roman"/>
                <w:bCs/>
                <w:iCs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年</w:t>
            </w:r>
            <w:r>
              <w:rPr>
                <w:rFonts w:hint="eastAsia" w:ascii="Times New Roman" w:hAnsi="Times New Roman" w:cs="Times New Roman"/>
                <w:bCs/>
                <w:iCs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月</w:t>
            </w:r>
            <w:r>
              <w:rPr>
                <w:rFonts w:hint="eastAsia" w:ascii="Times New Roman" w:hAnsi="Times New Roman" w:cs="Times New Roman"/>
                <w:bCs/>
                <w:iCs/>
                <w:sz w:val="24"/>
                <w:szCs w:val="24"/>
                <w:lang w:val="en-US" w:eastAsia="zh-CN"/>
              </w:rPr>
              <w:t>26</w:t>
            </w:r>
            <w:r>
              <w:rPr>
                <w:rFonts w:hint="default"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日</w:t>
            </w:r>
            <w:r>
              <w:rPr>
                <w:rFonts w:hint="default" w:ascii="Times New Roman" w:hAnsi="Times New Roman" w:cs="Times New Roman"/>
                <w:bCs/>
                <w:iCs/>
                <w:sz w:val="24"/>
                <w:szCs w:val="24"/>
                <w:lang w:val="en-US" w:eastAsia="zh-CN"/>
              </w:rPr>
              <w:t>下</w:t>
            </w:r>
            <w:r>
              <w:rPr>
                <w:rFonts w:hint="default"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午</w:t>
            </w:r>
            <w:r>
              <w:rPr>
                <w:rFonts w:hint="default" w:ascii="Times New Roman" w:hAnsi="Times New Roman" w:cs="Times New Roman"/>
                <w:bCs/>
                <w:iCs/>
                <w:sz w:val="24"/>
                <w:szCs w:val="24"/>
                <w:lang w:val="en-US" w:eastAsia="zh-CN"/>
              </w:rPr>
              <w:t>13</w:t>
            </w:r>
            <w:r>
              <w:rPr>
                <w:rFonts w:hint="default"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:00-1</w:t>
            </w:r>
            <w:r>
              <w:rPr>
                <w:rFonts w:hint="default" w:ascii="Times New Roman" w:hAnsi="Times New Roman" w:cs="Times New Roman"/>
                <w:bCs/>
                <w:iCs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:00</w:t>
            </w:r>
          </w:p>
        </w:tc>
      </w:tr>
      <w:tr w14:paraId="40AE0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pct"/>
            <w:shd w:val="clear" w:color="auto" w:fill="auto"/>
            <w:vAlign w:val="center"/>
          </w:tcPr>
          <w:p w14:paraId="7BE57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</w:rPr>
              <w:t>地点</w:t>
            </w:r>
            <w:r>
              <w:rPr>
                <w:rFonts w:hint="eastAsia" w:ascii="Times New Roman" w:hAnsi="Times New Roman" w:cs="Times New Roman"/>
                <w:b/>
                <w:bCs/>
                <w:iCs/>
                <w:sz w:val="24"/>
                <w:szCs w:val="24"/>
                <w:lang w:val="en-US" w:eastAsia="zh-CN"/>
              </w:rPr>
              <w:t>/方式</w:t>
            </w:r>
          </w:p>
        </w:tc>
        <w:tc>
          <w:tcPr>
            <w:tcW w:w="3745" w:type="pct"/>
            <w:shd w:val="clear" w:color="auto" w:fill="auto"/>
            <w:vAlign w:val="center"/>
          </w:tcPr>
          <w:p w14:paraId="65EAB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 w:after="0" w:line="360" w:lineRule="auto"/>
              <w:ind w:firstLine="480" w:firstLineChars="200"/>
              <w:jc w:val="left"/>
              <w:textAlignment w:val="auto"/>
              <w:rPr>
                <w:rFonts w:hint="default"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iCs/>
                <w:sz w:val="24"/>
                <w:szCs w:val="24"/>
              </w:rPr>
              <w:t>上证路演中心（网址：http</w:t>
            </w:r>
            <w:r>
              <w:rPr>
                <w:rFonts w:hint="default" w:ascii="Times New Roman" w:hAnsi="Times New Roman" w:cs="Times New Roman"/>
                <w:bCs/>
                <w:iCs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bCs/>
                <w:iCs/>
                <w:sz w:val="24"/>
                <w:szCs w:val="24"/>
              </w:rPr>
              <w:t>://roadshow.sseinfo.com/）</w:t>
            </w:r>
          </w:p>
          <w:p w14:paraId="01BFF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firstLine="480" w:firstLineChars="200"/>
              <w:jc w:val="left"/>
              <w:textAlignment w:val="auto"/>
              <w:rPr>
                <w:rFonts w:hint="default"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iCs/>
                <w:sz w:val="24"/>
                <w:szCs w:val="24"/>
              </w:rPr>
              <w:t>网络文字互动</w:t>
            </w:r>
          </w:p>
        </w:tc>
      </w:tr>
      <w:tr w14:paraId="3D574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pct"/>
            <w:shd w:val="clear" w:color="auto" w:fill="auto"/>
            <w:vAlign w:val="center"/>
          </w:tcPr>
          <w:p w14:paraId="75DB7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Cs/>
                <w:sz w:val="24"/>
                <w:szCs w:val="24"/>
                <w:lang w:val="en-US" w:eastAsia="zh-CN"/>
              </w:rPr>
              <w:t>参会人员</w:t>
            </w:r>
          </w:p>
        </w:tc>
        <w:tc>
          <w:tcPr>
            <w:tcW w:w="3745" w:type="pct"/>
            <w:shd w:val="clear" w:color="auto" w:fill="auto"/>
            <w:vAlign w:val="center"/>
          </w:tcPr>
          <w:p w14:paraId="18774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 w:after="0" w:line="360" w:lineRule="auto"/>
              <w:ind w:firstLine="480" w:firstLineChars="2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董事、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首席执行官：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祁海珅</w:t>
            </w:r>
          </w:p>
          <w:p w14:paraId="190FC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firstLine="480" w:firstLineChars="2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首席财务官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：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金良燕</w:t>
            </w:r>
          </w:p>
          <w:p w14:paraId="772C3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firstLine="480" w:firstLineChars="2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独立董事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陈艳</w:t>
            </w:r>
          </w:p>
          <w:p w14:paraId="229F8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firstLine="480" w:firstLineChars="200"/>
              <w:textAlignment w:val="auto"/>
              <w:rPr>
                <w:rFonts w:hint="default" w:ascii="Times New Roman" w:hAnsi="Times New Roman" w:cs="Times New Roman"/>
                <w:bCs/>
                <w:iCs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董事会秘书：杨林林</w:t>
            </w:r>
          </w:p>
        </w:tc>
      </w:tr>
      <w:tr w14:paraId="1DCDA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1254" w:type="pct"/>
            <w:shd w:val="clear" w:color="auto" w:fill="auto"/>
            <w:vAlign w:val="center"/>
          </w:tcPr>
          <w:p w14:paraId="79E56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</w:rPr>
              <w:t>投资者关系活动主要内容介绍</w:t>
            </w:r>
          </w:p>
        </w:tc>
        <w:tc>
          <w:tcPr>
            <w:tcW w:w="3745" w:type="pct"/>
            <w:shd w:val="clear" w:color="auto" w:fill="auto"/>
          </w:tcPr>
          <w:p w14:paraId="6F2C0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360" w:lineRule="auto"/>
              <w:jc w:val="center"/>
              <w:textAlignment w:val="auto"/>
              <w:rPr>
                <w:rFonts w:hint="default" w:ascii="宋体" w:hAnsi="宋体" w:cs="Times New Roman"/>
                <w:b/>
                <w:kern w:val="2"/>
                <w:sz w:val="24"/>
                <w:lang w:val="en-US" w:bidi="ar-SA"/>
              </w:rPr>
            </w:pPr>
            <w:r>
              <w:rPr>
                <w:rFonts w:hint="default" w:ascii="宋体" w:hAnsi="宋体" w:cs="Times New Roman"/>
                <w:b/>
                <w:kern w:val="2"/>
                <w:sz w:val="24"/>
                <w:lang w:val="en-US" w:bidi="ar-SA"/>
              </w:rPr>
              <w:t>投资者关</w:t>
            </w:r>
            <w:r>
              <w:rPr>
                <w:rFonts w:hint="eastAsia" w:ascii="宋体" w:hAnsi="宋体" w:cs="Times New Roman"/>
                <w:b/>
                <w:kern w:val="2"/>
                <w:sz w:val="24"/>
                <w:lang w:val="en-US" w:eastAsia="zh-CN" w:bidi="ar-SA"/>
              </w:rPr>
              <w:t>系活动主要内容</w:t>
            </w:r>
          </w:p>
          <w:p w14:paraId="5E468F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firstLine="482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问</w:t>
            </w:r>
            <w:r>
              <w:rPr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：近期市场关注到公司向</w:t>
            </w:r>
            <w:r>
              <w:rPr>
                <w:rFonts w:hint="eastAsia" w:ascii="Times New Roman" w:hAnsi="Times New Roman" w:cs="Times New Roman"/>
                <w:b/>
                <w:bCs/>
                <w:iCs/>
                <w:sz w:val="24"/>
                <w:szCs w:val="24"/>
                <w:lang w:val="en-US" w:eastAsia="zh-CN"/>
              </w:rPr>
              <w:t>“</w:t>
            </w:r>
            <w:r>
              <w:rPr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TGV激光设备</w:t>
            </w:r>
            <w:r>
              <w:rPr>
                <w:rFonts w:hint="eastAsia" w:ascii="Times New Roman" w:hAnsi="Times New Roman" w:cs="Times New Roman"/>
                <w:b/>
                <w:bCs/>
                <w:iCs/>
                <w:sz w:val="24"/>
                <w:szCs w:val="24"/>
                <w:lang w:val="en-US" w:eastAsia="zh-CN"/>
              </w:rPr>
              <w:t>”</w:t>
            </w:r>
            <w:r>
              <w:rPr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等半导体封装设备领域拓展。请问目前该类设备的研发进度如何？</w:t>
            </w:r>
          </w:p>
          <w:p w14:paraId="7811B7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iCs/>
                <w:sz w:val="24"/>
                <w:szCs w:val="24"/>
                <w:lang w:val="en-US"/>
              </w:rPr>
              <w:t>答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lang w:val="en-US"/>
              </w:rPr>
              <w:t>：尊敬的投资者，您好，感谢您对公司的关注。作为高端装备制造企业，公司会紧密跟踪行业技术方向，进行相应的战略性布局。半导体设备是公司未来拓展方向之一，公司将根据自身的业务情况，结合相关法律法规及时履行信息披露义务。</w:t>
            </w:r>
          </w:p>
          <w:p w14:paraId="3FA2B1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firstLine="482" w:firstLineChars="20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问</w:t>
            </w:r>
            <w:r>
              <w:rPr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：公司布局TOPCon/HJT/钙钛矿及氢能装备，目前各技术路线在手订单与收入贡献如何</w:t>
            </w:r>
          </w:p>
          <w:p w14:paraId="05BAECD1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iCs/>
              </w:rPr>
            </w:pPr>
            <w:r>
              <w:rPr>
                <w:rFonts w:hint="default" w:ascii="Times New Roman" w:hAnsi="Times New Roman" w:cs="Times New Roman"/>
                <w:iCs/>
              </w:rPr>
              <w:t>答</w:t>
            </w:r>
            <w:r>
              <w:rPr>
                <w:rFonts w:hint="default" w:ascii="Times New Roman" w:hAnsi="Times New Roman" w:cs="Times New Roman"/>
                <w:iCs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iCs/>
              </w:rPr>
              <w:t>：尊敬的投资者，您好，报告期内，公司依托可再生能源实验室，在PERTOP、HJT、钙钛矿三条技术路线上同步推进—Poly管式PECVD装备保持辽宁省首台套优势，并获得整线订单，钙钛矿蒸镀机、磁控溅射设备实现订单持续增长，并探索、落地专项功能设备突破，钙钛矿电池装备完成前瞻布局。目前公司已与国内一类电解水制氢头部企业正式签订合作协议，落地制氢电解槽全自动生产线商业化订单。公司订单情况请关注公司后期披露的定期报告及相关公告。感谢您的关注！</w:t>
            </w:r>
          </w:p>
          <w:p w14:paraId="74CF7E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问</w:t>
            </w:r>
            <w:r>
              <w:rPr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：请问毛利率提升的核心原因是什么？全年毛利率能否维持或进一步提升？</w:t>
            </w:r>
          </w:p>
          <w:p w14:paraId="5D9C13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iCs/>
                <w:sz w:val="24"/>
                <w:szCs w:val="24"/>
                <w:lang w:val="en-US"/>
              </w:rPr>
              <w:t>答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lang w:val="en-US"/>
              </w:rPr>
              <w:t>：尊敬的投资者，您好！2025年度，公司主营业务毛利率24.76%，相较上期主营业务毛利率26.74%，减少1.98个百分点。公司持续加大对海外市场的投入，始终坚持夯实内在价值与提升长期价值的原则</w:t>
            </w:r>
            <w:r>
              <w:rPr>
                <w:rFonts w:hint="eastAsia" w:ascii="Times New Roman" w:hAnsi="Times New Roman" w:cs="Times New Roman"/>
                <w:iCs/>
                <w:sz w:val="24"/>
                <w:szCs w:val="24"/>
                <w:lang w:val="en-US" w:eastAsia="zh-CN"/>
              </w:rPr>
              <w:t>，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lang w:val="en-US"/>
              </w:rPr>
              <w:t>聚焦主业经营</w:t>
            </w:r>
            <w:r>
              <w:rPr>
                <w:rFonts w:hint="eastAsia" w:ascii="Times New Roman" w:hAnsi="Times New Roman" w:cs="Times New Roman"/>
                <w:iCs/>
                <w:sz w:val="24"/>
                <w:szCs w:val="24"/>
                <w:lang w:val="en-US" w:eastAsia="zh-CN"/>
              </w:rPr>
              <w:t>，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lang w:val="en-US"/>
              </w:rPr>
              <w:t>持续提升经营质量与经营业绩。</w:t>
            </w:r>
          </w:p>
          <w:p w14:paraId="689163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问</w:t>
            </w:r>
            <w:r>
              <w:rPr>
                <w:rFonts w:hint="eastAsia" w:ascii="Times New Roman" w:hAnsi="Times New Roman" w:cs="Times New Roman"/>
                <w:b/>
                <w:bCs/>
                <w:iCs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：您好，我注意到贵公司2024年及本次均未采用直播形式的业绩说明会并在会后提供视频回放。资本市场愈发重视信息透明度与沟通质量，业绩说明会不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仅关系到投资者信息获取，也影响公司公众形象。视频直播及回放有助于提升信息传播的直观性与覆盖范围。请问贵公司2025年的业绩说明会，是否考虑采用视频直播并提供会后回放？感谢您的解答。</w:t>
            </w:r>
          </w:p>
          <w:p w14:paraId="46A75E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iCs/>
                <w:sz w:val="24"/>
                <w:szCs w:val="24"/>
                <w:lang w:val="en-US"/>
              </w:rPr>
              <w:t>答</w:t>
            </w:r>
            <w:r>
              <w:rPr>
                <w:rFonts w:hint="eastAsia" w:ascii="Times New Roman" w:hAnsi="Times New Roman" w:cs="Times New Roman"/>
                <w:iCs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lang w:val="en-US"/>
              </w:rPr>
              <w:t>：尊敬的投资者，您好，公司业绩说明会在上证路演中心采用网络文字互动问答的方式召开，旨在为了保障所有投资者能同步、平等地获取交流信息，会后公司及时将互动内容整理为《投资者关系活动记录表》并在上海证券交易所披露。对于未来业绩说明会的形式安排，您的建议我们会纳入考虑。感谢您的关注和建议！</w:t>
            </w:r>
          </w:p>
          <w:p w14:paraId="3A803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  <w:p w14:paraId="1AB8AA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360" w:lineRule="auto"/>
              <w:ind w:firstLine="482" w:firstLineChars="200"/>
              <w:jc w:val="both"/>
              <w:textAlignment w:val="auto"/>
              <w:rPr>
                <w:rFonts w:hint="eastAsia" w:ascii="Times New Roman" w:hAnsi="Times New Roman" w:cs="Times New Roman"/>
                <w:b/>
                <w:bCs/>
                <w:iCs/>
                <w:sz w:val="24"/>
                <w:szCs w:val="24"/>
                <w:lang w:val="en-US" w:eastAsia="zh-CN"/>
              </w:rPr>
            </w:pPr>
          </w:p>
        </w:tc>
      </w:tr>
      <w:tr w14:paraId="1F353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  <w:jc w:val="center"/>
        </w:trPr>
        <w:tc>
          <w:tcPr>
            <w:tcW w:w="1254" w:type="pct"/>
            <w:shd w:val="clear" w:color="auto" w:fill="auto"/>
            <w:vAlign w:val="center"/>
          </w:tcPr>
          <w:p w14:paraId="3EDB5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 w:line="360" w:lineRule="auto"/>
              <w:ind w:left="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</w:rPr>
              <w:t>其他事项</w:t>
            </w:r>
          </w:p>
        </w:tc>
        <w:tc>
          <w:tcPr>
            <w:tcW w:w="3745" w:type="pct"/>
            <w:shd w:val="clear" w:color="auto" w:fill="auto"/>
          </w:tcPr>
          <w:p w14:paraId="029FD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 w:line="360" w:lineRule="auto"/>
              <w:ind w:firstLine="480" w:firstLineChars="200"/>
              <w:jc w:val="left"/>
              <w:textAlignment w:val="auto"/>
              <w:rPr>
                <w:rFonts w:hint="default"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iCs/>
                <w:sz w:val="24"/>
                <w:szCs w:val="24"/>
                <w:lang w:val="en-US"/>
              </w:rPr>
              <w:t>关于公司</w:t>
            </w:r>
            <w:r>
              <w:rPr>
                <w:rFonts w:hint="default"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2025年年度暨2026年第一季度业绩说明会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lang w:val="en-US"/>
              </w:rPr>
              <w:t>的召开情况及主要内容，投资者可登陆上证路演中心（http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  <w:lang w:val="en-US"/>
              </w:rPr>
              <w:t>://roadshow.sseinfo.com/）进行查看。公司在此，对关注和支持公司发展并积极提出建议的投资者表示衷心感谢！</w:t>
            </w:r>
          </w:p>
        </w:tc>
      </w:tr>
      <w:tr w14:paraId="2837C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pct"/>
            <w:shd w:val="clear" w:color="auto" w:fill="auto"/>
            <w:vAlign w:val="center"/>
          </w:tcPr>
          <w:p w14:paraId="7F220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 w:line="360" w:lineRule="auto"/>
              <w:ind w:left="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</w:rPr>
              <w:t>附件清单（如有）</w:t>
            </w:r>
          </w:p>
        </w:tc>
        <w:tc>
          <w:tcPr>
            <w:tcW w:w="3745" w:type="pct"/>
            <w:shd w:val="clear" w:color="auto" w:fill="auto"/>
          </w:tcPr>
          <w:p w14:paraId="3DFBF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 w:line="360" w:lineRule="auto"/>
              <w:ind w:left="204"/>
              <w:textAlignment w:val="auto"/>
              <w:rPr>
                <w:rFonts w:hint="default"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14:paraId="1D081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pct"/>
            <w:shd w:val="clear" w:color="auto" w:fill="auto"/>
            <w:vAlign w:val="center"/>
          </w:tcPr>
          <w:p w14:paraId="7E0CD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 w:line="360" w:lineRule="auto"/>
              <w:ind w:left="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4"/>
                <w:szCs w:val="24"/>
              </w:rPr>
              <w:t>日期</w:t>
            </w:r>
          </w:p>
        </w:tc>
        <w:tc>
          <w:tcPr>
            <w:tcW w:w="3745" w:type="pct"/>
            <w:shd w:val="clear" w:color="auto" w:fill="auto"/>
            <w:vAlign w:val="center"/>
          </w:tcPr>
          <w:p w14:paraId="16906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 w:line="360" w:lineRule="auto"/>
              <w:textAlignment w:val="auto"/>
              <w:rPr>
                <w:rFonts w:hint="default"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Cs/>
                <w:sz w:val="24"/>
                <w:szCs w:val="24"/>
                <w:lang w:val="en-US"/>
              </w:rPr>
              <w:t>202</w:t>
            </w:r>
            <w:r>
              <w:rPr>
                <w:rFonts w:hint="eastAsia" w:ascii="Times New Roman" w:hAnsi="Times New Roman" w:cs="Times New Roman"/>
                <w:iCs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cs="Times New Roman"/>
                <w:iCs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cs="Times New Roman"/>
                <w:iCs/>
                <w:sz w:val="24"/>
                <w:szCs w:val="24"/>
                <w:lang w:val="en-US" w:eastAsia="zh-CN"/>
              </w:rPr>
              <w:t>26</w:t>
            </w:r>
            <w:r>
              <w:rPr>
                <w:rFonts w:hint="default" w:ascii="Times New Roman" w:hAnsi="Times New Roman" w:cs="Times New Roman"/>
                <w:iCs/>
                <w:sz w:val="24"/>
                <w:szCs w:val="24"/>
              </w:rPr>
              <w:t>日</w:t>
            </w:r>
          </w:p>
        </w:tc>
      </w:tr>
    </w:tbl>
    <w:p w14:paraId="1E323D56">
      <w:pPr>
        <w:rPr>
          <w:rFonts w:hint="default" w:ascii="Times New Roman" w:hAnsi="Times New Roman" w:cs="Times New Roman"/>
        </w:rPr>
      </w:pPr>
    </w:p>
    <w:sectPr>
      <w:headerReference r:id="rId3" w:type="default"/>
      <w:pgSz w:w="11910" w:h="16840"/>
      <w:pgMar w:top="1361" w:right="1202" w:bottom="1361" w:left="1202" w:header="859" w:footer="1007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625F1E">
    <w:pPr>
      <w:pStyle w:val="4"/>
      <w:tabs>
        <w:tab w:val="clear" w:pos="4153"/>
      </w:tabs>
      <w:jc w:val="right"/>
    </w:pPr>
    <w:r>
      <w:rPr>
        <w:rFonts w:hint="eastAsia"/>
      </w:rPr>
      <w:t>营口金辰机械股份有限公司投资者关系活动记录表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E5OTlhYjUxMDRmYmY1ZWFmNzQ1NThjMzMwMDBlYmQifQ=="/>
  </w:docVars>
  <w:rsids>
    <w:rsidRoot w:val="009637E7"/>
    <w:rsid w:val="00004E37"/>
    <w:rsid w:val="00007C24"/>
    <w:rsid w:val="00014251"/>
    <w:rsid w:val="000149EE"/>
    <w:rsid w:val="000173A4"/>
    <w:rsid w:val="00017A57"/>
    <w:rsid w:val="00024A84"/>
    <w:rsid w:val="00036BA2"/>
    <w:rsid w:val="00044565"/>
    <w:rsid w:val="00050A4B"/>
    <w:rsid w:val="0006220B"/>
    <w:rsid w:val="00064E44"/>
    <w:rsid w:val="00070AF5"/>
    <w:rsid w:val="000736FE"/>
    <w:rsid w:val="00076610"/>
    <w:rsid w:val="00077034"/>
    <w:rsid w:val="00080834"/>
    <w:rsid w:val="00080F44"/>
    <w:rsid w:val="000823BE"/>
    <w:rsid w:val="000836B5"/>
    <w:rsid w:val="00085B7E"/>
    <w:rsid w:val="00093C8C"/>
    <w:rsid w:val="000A3A3D"/>
    <w:rsid w:val="000A604E"/>
    <w:rsid w:val="000A7543"/>
    <w:rsid w:val="000A7FC8"/>
    <w:rsid w:val="000B1114"/>
    <w:rsid w:val="000C07E2"/>
    <w:rsid w:val="000C0E5E"/>
    <w:rsid w:val="000C1755"/>
    <w:rsid w:val="000C29A0"/>
    <w:rsid w:val="000C5F25"/>
    <w:rsid w:val="000C6840"/>
    <w:rsid w:val="000C7F26"/>
    <w:rsid w:val="000D03B4"/>
    <w:rsid w:val="000D2025"/>
    <w:rsid w:val="000D652E"/>
    <w:rsid w:val="000E387D"/>
    <w:rsid w:val="000E5458"/>
    <w:rsid w:val="000E67FC"/>
    <w:rsid w:val="000F2F3A"/>
    <w:rsid w:val="000F31A1"/>
    <w:rsid w:val="000F330F"/>
    <w:rsid w:val="000F3B0B"/>
    <w:rsid w:val="000F41A2"/>
    <w:rsid w:val="000F4714"/>
    <w:rsid w:val="00101C27"/>
    <w:rsid w:val="00101C42"/>
    <w:rsid w:val="001049C0"/>
    <w:rsid w:val="00105767"/>
    <w:rsid w:val="00112C18"/>
    <w:rsid w:val="00120347"/>
    <w:rsid w:val="00120F0C"/>
    <w:rsid w:val="00133472"/>
    <w:rsid w:val="0013396D"/>
    <w:rsid w:val="0013433B"/>
    <w:rsid w:val="00140915"/>
    <w:rsid w:val="00140CC6"/>
    <w:rsid w:val="00140D5D"/>
    <w:rsid w:val="00141B1B"/>
    <w:rsid w:val="00147F2E"/>
    <w:rsid w:val="0015501E"/>
    <w:rsid w:val="001651EA"/>
    <w:rsid w:val="001701CF"/>
    <w:rsid w:val="0017477F"/>
    <w:rsid w:val="001750FB"/>
    <w:rsid w:val="00175778"/>
    <w:rsid w:val="001762D2"/>
    <w:rsid w:val="00176FE7"/>
    <w:rsid w:val="00177816"/>
    <w:rsid w:val="00180744"/>
    <w:rsid w:val="00180C46"/>
    <w:rsid w:val="00183F71"/>
    <w:rsid w:val="001848CC"/>
    <w:rsid w:val="0018563C"/>
    <w:rsid w:val="00187AEB"/>
    <w:rsid w:val="001921AE"/>
    <w:rsid w:val="001A2374"/>
    <w:rsid w:val="001C1D62"/>
    <w:rsid w:val="001C321B"/>
    <w:rsid w:val="001C52C9"/>
    <w:rsid w:val="001C5FB1"/>
    <w:rsid w:val="001C70F3"/>
    <w:rsid w:val="001D6DD7"/>
    <w:rsid w:val="001E400C"/>
    <w:rsid w:val="001F206B"/>
    <w:rsid w:val="001F58C5"/>
    <w:rsid w:val="00200A69"/>
    <w:rsid w:val="00202369"/>
    <w:rsid w:val="00203C0A"/>
    <w:rsid w:val="00206C6D"/>
    <w:rsid w:val="00207D43"/>
    <w:rsid w:val="00211688"/>
    <w:rsid w:val="0021366D"/>
    <w:rsid w:val="00214D1F"/>
    <w:rsid w:val="00217903"/>
    <w:rsid w:val="00220B91"/>
    <w:rsid w:val="002238CC"/>
    <w:rsid w:val="00225CE6"/>
    <w:rsid w:val="002263BA"/>
    <w:rsid w:val="00230485"/>
    <w:rsid w:val="002308D7"/>
    <w:rsid w:val="00231B26"/>
    <w:rsid w:val="00233333"/>
    <w:rsid w:val="00237064"/>
    <w:rsid w:val="00242C78"/>
    <w:rsid w:val="00242E37"/>
    <w:rsid w:val="00246BFF"/>
    <w:rsid w:val="00250267"/>
    <w:rsid w:val="00250A54"/>
    <w:rsid w:val="00254377"/>
    <w:rsid w:val="0025664A"/>
    <w:rsid w:val="0025690D"/>
    <w:rsid w:val="00264AA3"/>
    <w:rsid w:val="00267BC2"/>
    <w:rsid w:val="00267BEB"/>
    <w:rsid w:val="00282038"/>
    <w:rsid w:val="00291489"/>
    <w:rsid w:val="0029553D"/>
    <w:rsid w:val="002A07A7"/>
    <w:rsid w:val="002A5558"/>
    <w:rsid w:val="002B775C"/>
    <w:rsid w:val="002C4A5F"/>
    <w:rsid w:val="002C675A"/>
    <w:rsid w:val="002D0CAF"/>
    <w:rsid w:val="002D1E68"/>
    <w:rsid w:val="002D2128"/>
    <w:rsid w:val="002D227A"/>
    <w:rsid w:val="002D335E"/>
    <w:rsid w:val="002D5418"/>
    <w:rsid w:val="002D76FC"/>
    <w:rsid w:val="002E136A"/>
    <w:rsid w:val="002E2C8F"/>
    <w:rsid w:val="002E3BA6"/>
    <w:rsid w:val="002E4C97"/>
    <w:rsid w:val="002E4D7A"/>
    <w:rsid w:val="002E62A0"/>
    <w:rsid w:val="002E661F"/>
    <w:rsid w:val="002E69D8"/>
    <w:rsid w:val="002E76CE"/>
    <w:rsid w:val="002F1545"/>
    <w:rsid w:val="002F5067"/>
    <w:rsid w:val="002F7E36"/>
    <w:rsid w:val="00300784"/>
    <w:rsid w:val="00301ED8"/>
    <w:rsid w:val="003026F7"/>
    <w:rsid w:val="003041E3"/>
    <w:rsid w:val="00304EBD"/>
    <w:rsid w:val="00304F9A"/>
    <w:rsid w:val="0030689B"/>
    <w:rsid w:val="0031050D"/>
    <w:rsid w:val="003113A8"/>
    <w:rsid w:val="00311683"/>
    <w:rsid w:val="00314C16"/>
    <w:rsid w:val="00315062"/>
    <w:rsid w:val="0031679F"/>
    <w:rsid w:val="00316A64"/>
    <w:rsid w:val="0032020C"/>
    <w:rsid w:val="00320F73"/>
    <w:rsid w:val="00321CBC"/>
    <w:rsid w:val="00325D67"/>
    <w:rsid w:val="00326F94"/>
    <w:rsid w:val="00333B7E"/>
    <w:rsid w:val="0033454F"/>
    <w:rsid w:val="003362EB"/>
    <w:rsid w:val="003364C6"/>
    <w:rsid w:val="003378B1"/>
    <w:rsid w:val="00344429"/>
    <w:rsid w:val="00345610"/>
    <w:rsid w:val="00346B66"/>
    <w:rsid w:val="00347640"/>
    <w:rsid w:val="00347B35"/>
    <w:rsid w:val="00350659"/>
    <w:rsid w:val="00355B9A"/>
    <w:rsid w:val="00357115"/>
    <w:rsid w:val="00362183"/>
    <w:rsid w:val="00362FF6"/>
    <w:rsid w:val="00374228"/>
    <w:rsid w:val="00375908"/>
    <w:rsid w:val="00376D4F"/>
    <w:rsid w:val="00384B14"/>
    <w:rsid w:val="0039105E"/>
    <w:rsid w:val="00391859"/>
    <w:rsid w:val="00396DF8"/>
    <w:rsid w:val="003976BD"/>
    <w:rsid w:val="00397729"/>
    <w:rsid w:val="003A25D9"/>
    <w:rsid w:val="003B7ACC"/>
    <w:rsid w:val="003C1B2A"/>
    <w:rsid w:val="003C6A2F"/>
    <w:rsid w:val="003C7A02"/>
    <w:rsid w:val="003D0503"/>
    <w:rsid w:val="003D0B45"/>
    <w:rsid w:val="003D61C0"/>
    <w:rsid w:val="003E01C6"/>
    <w:rsid w:val="003E0882"/>
    <w:rsid w:val="003E1544"/>
    <w:rsid w:val="003E1791"/>
    <w:rsid w:val="003E3560"/>
    <w:rsid w:val="003F05CA"/>
    <w:rsid w:val="003F142E"/>
    <w:rsid w:val="003F29B0"/>
    <w:rsid w:val="003F45C8"/>
    <w:rsid w:val="003F4D50"/>
    <w:rsid w:val="003F62C5"/>
    <w:rsid w:val="00400C70"/>
    <w:rsid w:val="00402658"/>
    <w:rsid w:val="00405558"/>
    <w:rsid w:val="00406782"/>
    <w:rsid w:val="00411704"/>
    <w:rsid w:val="004126C7"/>
    <w:rsid w:val="00412FF5"/>
    <w:rsid w:val="00416D77"/>
    <w:rsid w:val="00416E60"/>
    <w:rsid w:val="0042107F"/>
    <w:rsid w:val="00422023"/>
    <w:rsid w:val="00436560"/>
    <w:rsid w:val="00436E4F"/>
    <w:rsid w:val="00437DD1"/>
    <w:rsid w:val="00440683"/>
    <w:rsid w:val="004417F3"/>
    <w:rsid w:val="00444327"/>
    <w:rsid w:val="0044758B"/>
    <w:rsid w:val="00447A85"/>
    <w:rsid w:val="00454A06"/>
    <w:rsid w:val="004566CA"/>
    <w:rsid w:val="00470D54"/>
    <w:rsid w:val="00474D50"/>
    <w:rsid w:val="0047534F"/>
    <w:rsid w:val="0048371C"/>
    <w:rsid w:val="00485824"/>
    <w:rsid w:val="004873C5"/>
    <w:rsid w:val="00487A4B"/>
    <w:rsid w:val="0049314A"/>
    <w:rsid w:val="00493622"/>
    <w:rsid w:val="00493CF4"/>
    <w:rsid w:val="004961F2"/>
    <w:rsid w:val="00496C26"/>
    <w:rsid w:val="004A1C8D"/>
    <w:rsid w:val="004A2A93"/>
    <w:rsid w:val="004A2B6F"/>
    <w:rsid w:val="004B05D2"/>
    <w:rsid w:val="004B0E81"/>
    <w:rsid w:val="004B4591"/>
    <w:rsid w:val="004B69CB"/>
    <w:rsid w:val="004C2271"/>
    <w:rsid w:val="004C272E"/>
    <w:rsid w:val="004C487C"/>
    <w:rsid w:val="004D48EA"/>
    <w:rsid w:val="004D7315"/>
    <w:rsid w:val="004E310D"/>
    <w:rsid w:val="004E57AC"/>
    <w:rsid w:val="004F428B"/>
    <w:rsid w:val="004F4810"/>
    <w:rsid w:val="004F6567"/>
    <w:rsid w:val="004F72F7"/>
    <w:rsid w:val="00500AF7"/>
    <w:rsid w:val="00502374"/>
    <w:rsid w:val="00507AC1"/>
    <w:rsid w:val="00515ACC"/>
    <w:rsid w:val="00521126"/>
    <w:rsid w:val="00530E84"/>
    <w:rsid w:val="00531DE9"/>
    <w:rsid w:val="00532999"/>
    <w:rsid w:val="0053417A"/>
    <w:rsid w:val="00534DDD"/>
    <w:rsid w:val="005353D4"/>
    <w:rsid w:val="0053643E"/>
    <w:rsid w:val="00541AA3"/>
    <w:rsid w:val="005440DC"/>
    <w:rsid w:val="00547960"/>
    <w:rsid w:val="0056014B"/>
    <w:rsid w:val="0056272D"/>
    <w:rsid w:val="00566A75"/>
    <w:rsid w:val="005676E8"/>
    <w:rsid w:val="00571021"/>
    <w:rsid w:val="0057638C"/>
    <w:rsid w:val="005771A0"/>
    <w:rsid w:val="00580A8C"/>
    <w:rsid w:val="005811DE"/>
    <w:rsid w:val="00583282"/>
    <w:rsid w:val="00583367"/>
    <w:rsid w:val="005834F3"/>
    <w:rsid w:val="0058634C"/>
    <w:rsid w:val="0058735F"/>
    <w:rsid w:val="00591531"/>
    <w:rsid w:val="00593B53"/>
    <w:rsid w:val="00593DBE"/>
    <w:rsid w:val="005948BD"/>
    <w:rsid w:val="005975DF"/>
    <w:rsid w:val="005A7700"/>
    <w:rsid w:val="005B1480"/>
    <w:rsid w:val="005B2A16"/>
    <w:rsid w:val="005C1DDF"/>
    <w:rsid w:val="005C268A"/>
    <w:rsid w:val="005C6EC9"/>
    <w:rsid w:val="005D0EEF"/>
    <w:rsid w:val="005D112C"/>
    <w:rsid w:val="005D4ECF"/>
    <w:rsid w:val="005D501F"/>
    <w:rsid w:val="005D749B"/>
    <w:rsid w:val="005E34BB"/>
    <w:rsid w:val="005E4DA5"/>
    <w:rsid w:val="005F0F4E"/>
    <w:rsid w:val="005F3EB1"/>
    <w:rsid w:val="005F576F"/>
    <w:rsid w:val="005F611D"/>
    <w:rsid w:val="005F71F1"/>
    <w:rsid w:val="0060032B"/>
    <w:rsid w:val="00611922"/>
    <w:rsid w:val="00611AA1"/>
    <w:rsid w:val="00615BD4"/>
    <w:rsid w:val="006166E3"/>
    <w:rsid w:val="00616FBF"/>
    <w:rsid w:val="00621683"/>
    <w:rsid w:val="006220E5"/>
    <w:rsid w:val="00630C10"/>
    <w:rsid w:val="00635D23"/>
    <w:rsid w:val="00641287"/>
    <w:rsid w:val="00645F3F"/>
    <w:rsid w:val="00654D16"/>
    <w:rsid w:val="006628F0"/>
    <w:rsid w:val="00663BAE"/>
    <w:rsid w:val="00664A25"/>
    <w:rsid w:val="00671DAB"/>
    <w:rsid w:val="00672CFF"/>
    <w:rsid w:val="00673E0E"/>
    <w:rsid w:val="00680594"/>
    <w:rsid w:val="00681790"/>
    <w:rsid w:val="00691E93"/>
    <w:rsid w:val="00692AFC"/>
    <w:rsid w:val="006971A6"/>
    <w:rsid w:val="006A0382"/>
    <w:rsid w:val="006A0425"/>
    <w:rsid w:val="006A6346"/>
    <w:rsid w:val="006B5E0E"/>
    <w:rsid w:val="006C1B15"/>
    <w:rsid w:val="006D0832"/>
    <w:rsid w:val="006D744E"/>
    <w:rsid w:val="006D7CFB"/>
    <w:rsid w:val="006E2881"/>
    <w:rsid w:val="006E2C06"/>
    <w:rsid w:val="006E6A24"/>
    <w:rsid w:val="006E709C"/>
    <w:rsid w:val="006F244E"/>
    <w:rsid w:val="006F7805"/>
    <w:rsid w:val="007051C3"/>
    <w:rsid w:val="007122C3"/>
    <w:rsid w:val="00713E91"/>
    <w:rsid w:val="00722355"/>
    <w:rsid w:val="00722ADD"/>
    <w:rsid w:val="00722F87"/>
    <w:rsid w:val="0072577A"/>
    <w:rsid w:val="00725F3C"/>
    <w:rsid w:val="00726637"/>
    <w:rsid w:val="00726BB6"/>
    <w:rsid w:val="00727682"/>
    <w:rsid w:val="007278C1"/>
    <w:rsid w:val="00731467"/>
    <w:rsid w:val="0073264C"/>
    <w:rsid w:val="00732D4E"/>
    <w:rsid w:val="0073322E"/>
    <w:rsid w:val="0073372F"/>
    <w:rsid w:val="00746D34"/>
    <w:rsid w:val="007509D2"/>
    <w:rsid w:val="0075189D"/>
    <w:rsid w:val="00752D45"/>
    <w:rsid w:val="007532B1"/>
    <w:rsid w:val="0075395D"/>
    <w:rsid w:val="00754E5B"/>
    <w:rsid w:val="00760841"/>
    <w:rsid w:val="00764C4A"/>
    <w:rsid w:val="00767C7A"/>
    <w:rsid w:val="0077049B"/>
    <w:rsid w:val="007712E7"/>
    <w:rsid w:val="00771E98"/>
    <w:rsid w:val="0078023A"/>
    <w:rsid w:val="00781FB7"/>
    <w:rsid w:val="00782264"/>
    <w:rsid w:val="00782BD8"/>
    <w:rsid w:val="00784C21"/>
    <w:rsid w:val="00784F1F"/>
    <w:rsid w:val="00786186"/>
    <w:rsid w:val="007873D2"/>
    <w:rsid w:val="00787F07"/>
    <w:rsid w:val="00790056"/>
    <w:rsid w:val="00791CB2"/>
    <w:rsid w:val="00793212"/>
    <w:rsid w:val="007969CD"/>
    <w:rsid w:val="007A42C5"/>
    <w:rsid w:val="007A6AF1"/>
    <w:rsid w:val="007B1386"/>
    <w:rsid w:val="007B6417"/>
    <w:rsid w:val="007C0073"/>
    <w:rsid w:val="007C114C"/>
    <w:rsid w:val="007C175E"/>
    <w:rsid w:val="007C247A"/>
    <w:rsid w:val="007C2E29"/>
    <w:rsid w:val="007C6433"/>
    <w:rsid w:val="007C7D0C"/>
    <w:rsid w:val="007D32C9"/>
    <w:rsid w:val="007D5AC9"/>
    <w:rsid w:val="007E10AC"/>
    <w:rsid w:val="007F0987"/>
    <w:rsid w:val="007F4127"/>
    <w:rsid w:val="007F719A"/>
    <w:rsid w:val="007F7914"/>
    <w:rsid w:val="0080348C"/>
    <w:rsid w:val="0080686E"/>
    <w:rsid w:val="00811779"/>
    <w:rsid w:val="00813FAA"/>
    <w:rsid w:val="00815F33"/>
    <w:rsid w:val="008160D6"/>
    <w:rsid w:val="00823BBE"/>
    <w:rsid w:val="008240BE"/>
    <w:rsid w:val="0082553D"/>
    <w:rsid w:val="00826AE7"/>
    <w:rsid w:val="00837174"/>
    <w:rsid w:val="00842B28"/>
    <w:rsid w:val="00843F41"/>
    <w:rsid w:val="00845BFA"/>
    <w:rsid w:val="00846355"/>
    <w:rsid w:val="00850E9A"/>
    <w:rsid w:val="00857D38"/>
    <w:rsid w:val="00860258"/>
    <w:rsid w:val="00860835"/>
    <w:rsid w:val="008638B6"/>
    <w:rsid w:val="00864FC4"/>
    <w:rsid w:val="00866446"/>
    <w:rsid w:val="00871271"/>
    <w:rsid w:val="00874095"/>
    <w:rsid w:val="0088309A"/>
    <w:rsid w:val="008852CF"/>
    <w:rsid w:val="00894E0F"/>
    <w:rsid w:val="008A2A28"/>
    <w:rsid w:val="008A3AF1"/>
    <w:rsid w:val="008A4344"/>
    <w:rsid w:val="008A4E96"/>
    <w:rsid w:val="008A58ED"/>
    <w:rsid w:val="008A628B"/>
    <w:rsid w:val="008A649E"/>
    <w:rsid w:val="008B7A46"/>
    <w:rsid w:val="008C09C9"/>
    <w:rsid w:val="008C1FB8"/>
    <w:rsid w:val="008C3B9E"/>
    <w:rsid w:val="008C4C50"/>
    <w:rsid w:val="008D02F0"/>
    <w:rsid w:val="008D0988"/>
    <w:rsid w:val="008D22C7"/>
    <w:rsid w:val="008D5F46"/>
    <w:rsid w:val="008D734B"/>
    <w:rsid w:val="008E37A6"/>
    <w:rsid w:val="008E5E61"/>
    <w:rsid w:val="008E6CBB"/>
    <w:rsid w:val="008F2A08"/>
    <w:rsid w:val="008F6133"/>
    <w:rsid w:val="00900875"/>
    <w:rsid w:val="0090495B"/>
    <w:rsid w:val="00917DB6"/>
    <w:rsid w:val="00920712"/>
    <w:rsid w:val="00925478"/>
    <w:rsid w:val="00927B0B"/>
    <w:rsid w:val="00943EA8"/>
    <w:rsid w:val="009454FB"/>
    <w:rsid w:val="00945663"/>
    <w:rsid w:val="00946A72"/>
    <w:rsid w:val="0095043F"/>
    <w:rsid w:val="009509D8"/>
    <w:rsid w:val="00951769"/>
    <w:rsid w:val="00957EF4"/>
    <w:rsid w:val="009637E7"/>
    <w:rsid w:val="00964761"/>
    <w:rsid w:val="00966235"/>
    <w:rsid w:val="009722CC"/>
    <w:rsid w:val="00973BCE"/>
    <w:rsid w:val="00974084"/>
    <w:rsid w:val="0097694C"/>
    <w:rsid w:val="0098572F"/>
    <w:rsid w:val="0098677A"/>
    <w:rsid w:val="009A2F2F"/>
    <w:rsid w:val="009B04A3"/>
    <w:rsid w:val="009B04A4"/>
    <w:rsid w:val="009B2540"/>
    <w:rsid w:val="009B41A5"/>
    <w:rsid w:val="009B70EB"/>
    <w:rsid w:val="009C1E1F"/>
    <w:rsid w:val="009C71DD"/>
    <w:rsid w:val="009D04A5"/>
    <w:rsid w:val="009D2EF1"/>
    <w:rsid w:val="009D3136"/>
    <w:rsid w:val="009D36F1"/>
    <w:rsid w:val="009D5F66"/>
    <w:rsid w:val="009D69B2"/>
    <w:rsid w:val="009D6BA0"/>
    <w:rsid w:val="009D7C6E"/>
    <w:rsid w:val="009E277C"/>
    <w:rsid w:val="009E37EE"/>
    <w:rsid w:val="009E503D"/>
    <w:rsid w:val="009E588C"/>
    <w:rsid w:val="009E6E73"/>
    <w:rsid w:val="009F7B63"/>
    <w:rsid w:val="00A053F4"/>
    <w:rsid w:val="00A05A38"/>
    <w:rsid w:val="00A17FF2"/>
    <w:rsid w:val="00A22167"/>
    <w:rsid w:val="00A26A1A"/>
    <w:rsid w:val="00A26FA5"/>
    <w:rsid w:val="00A33F6E"/>
    <w:rsid w:val="00A445AD"/>
    <w:rsid w:val="00A45DB7"/>
    <w:rsid w:val="00A46AF7"/>
    <w:rsid w:val="00A46C77"/>
    <w:rsid w:val="00A50B67"/>
    <w:rsid w:val="00A555EF"/>
    <w:rsid w:val="00A55EA5"/>
    <w:rsid w:val="00A614A8"/>
    <w:rsid w:val="00A63916"/>
    <w:rsid w:val="00A7097B"/>
    <w:rsid w:val="00A84593"/>
    <w:rsid w:val="00A91865"/>
    <w:rsid w:val="00AA06C7"/>
    <w:rsid w:val="00AA5668"/>
    <w:rsid w:val="00AA6E08"/>
    <w:rsid w:val="00AB062E"/>
    <w:rsid w:val="00AB3075"/>
    <w:rsid w:val="00AB3C33"/>
    <w:rsid w:val="00AB5A2A"/>
    <w:rsid w:val="00AB7138"/>
    <w:rsid w:val="00AC016C"/>
    <w:rsid w:val="00AC0D7C"/>
    <w:rsid w:val="00AC1590"/>
    <w:rsid w:val="00AC6B00"/>
    <w:rsid w:val="00AD09F1"/>
    <w:rsid w:val="00AD1235"/>
    <w:rsid w:val="00AD1A15"/>
    <w:rsid w:val="00AE2F0F"/>
    <w:rsid w:val="00AE79AC"/>
    <w:rsid w:val="00AF5400"/>
    <w:rsid w:val="00B00251"/>
    <w:rsid w:val="00B00D24"/>
    <w:rsid w:val="00B04C26"/>
    <w:rsid w:val="00B12D6D"/>
    <w:rsid w:val="00B14731"/>
    <w:rsid w:val="00B15944"/>
    <w:rsid w:val="00B22030"/>
    <w:rsid w:val="00B3073D"/>
    <w:rsid w:val="00B364F7"/>
    <w:rsid w:val="00B45067"/>
    <w:rsid w:val="00B4786D"/>
    <w:rsid w:val="00B50481"/>
    <w:rsid w:val="00B509D6"/>
    <w:rsid w:val="00B50DE7"/>
    <w:rsid w:val="00B53091"/>
    <w:rsid w:val="00B54218"/>
    <w:rsid w:val="00B54AE7"/>
    <w:rsid w:val="00B55DA2"/>
    <w:rsid w:val="00B605D2"/>
    <w:rsid w:val="00B610BC"/>
    <w:rsid w:val="00B653EE"/>
    <w:rsid w:val="00B74DDF"/>
    <w:rsid w:val="00B74E0D"/>
    <w:rsid w:val="00B75AB1"/>
    <w:rsid w:val="00B84BF7"/>
    <w:rsid w:val="00B8516A"/>
    <w:rsid w:val="00B85F77"/>
    <w:rsid w:val="00B90196"/>
    <w:rsid w:val="00B90EB4"/>
    <w:rsid w:val="00BA12B8"/>
    <w:rsid w:val="00BA1481"/>
    <w:rsid w:val="00BA2410"/>
    <w:rsid w:val="00BA494E"/>
    <w:rsid w:val="00BA5AAB"/>
    <w:rsid w:val="00BB0240"/>
    <w:rsid w:val="00BB1737"/>
    <w:rsid w:val="00BB242E"/>
    <w:rsid w:val="00BB25BD"/>
    <w:rsid w:val="00BB3C56"/>
    <w:rsid w:val="00BB5265"/>
    <w:rsid w:val="00BB7B68"/>
    <w:rsid w:val="00BC3416"/>
    <w:rsid w:val="00BC379B"/>
    <w:rsid w:val="00BC7606"/>
    <w:rsid w:val="00BD003F"/>
    <w:rsid w:val="00BD01B7"/>
    <w:rsid w:val="00BD0C49"/>
    <w:rsid w:val="00BD6B6B"/>
    <w:rsid w:val="00BE05B9"/>
    <w:rsid w:val="00BE1472"/>
    <w:rsid w:val="00BE47F7"/>
    <w:rsid w:val="00BE531C"/>
    <w:rsid w:val="00BF3830"/>
    <w:rsid w:val="00BF3CFC"/>
    <w:rsid w:val="00BF4B12"/>
    <w:rsid w:val="00C06A50"/>
    <w:rsid w:val="00C07100"/>
    <w:rsid w:val="00C07A64"/>
    <w:rsid w:val="00C16111"/>
    <w:rsid w:val="00C16F56"/>
    <w:rsid w:val="00C20319"/>
    <w:rsid w:val="00C21B60"/>
    <w:rsid w:val="00C263DD"/>
    <w:rsid w:val="00C30E56"/>
    <w:rsid w:val="00C310F6"/>
    <w:rsid w:val="00C33F71"/>
    <w:rsid w:val="00C359E5"/>
    <w:rsid w:val="00C376AD"/>
    <w:rsid w:val="00C37A21"/>
    <w:rsid w:val="00C37AC6"/>
    <w:rsid w:val="00C41161"/>
    <w:rsid w:val="00C424B3"/>
    <w:rsid w:val="00C47670"/>
    <w:rsid w:val="00C56DB3"/>
    <w:rsid w:val="00C57351"/>
    <w:rsid w:val="00C657F1"/>
    <w:rsid w:val="00C708DD"/>
    <w:rsid w:val="00C7214E"/>
    <w:rsid w:val="00C731CE"/>
    <w:rsid w:val="00C73814"/>
    <w:rsid w:val="00C753C9"/>
    <w:rsid w:val="00C76089"/>
    <w:rsid w:val="00C7757E"/>
    <w:rsid w:val="00C81BBC"/>
    <w:rsid w:val="00C9067A"/>
    <w:rsid w:val="00C93DB6"/>
    <w:rsid w:val="00CA5846"/>
    <w:rsid w:val="00CB3448"/>
    <w:rsid w:val="00CB47D5"/>
    <w:rsid w:val="00CC2DF2"/>
    <w:rsid w:val="00CC6341"/>
    <w:rsid w:val="00CD0A55"/>
    <w:rsid w:val="00CD3361"/>
    <w:rsid w:val="00CD6C67"/>
    <w:rsid w:val="00CE2151"/>
    <w:rsid w:val="00CE2545"/>
    <w:rsid w:val="00CE3200"/>
    <w:rsid w:val="00CF2012"/>
    <w:rsid w:val="00CF4A6A"/>
    <w:rsid w:val="00CF7823"/>
    <w:rsid w:val="00D10486"/>
    <w:rsid w:val="00D11162"/>
    <w:rsid w:val="00D14A35"/>
    <w:rsid w:val="00D272D6"/>
    <w:rsid w:val="00D40AD3"/>
    <w:rsid w:val="00D416BB"/>
    <w:rsid w:val="00D42451"/>
    <w:rsid w:val="00D42E5C"/>
    <w:rsid w:val="00D4356B"/>
    <w:rsid w:val="00D4427C"/>
    <w:rsid w:val="00D463A0"/>
    <w:rsid w:val="00D47A4A"/>
    <w:rsid w:val="00D51BAD"/>
    <w:rsid w:val="00D52CCA"/>
    <w:rsid w:val="00D5340A"/>
    <w:rsid w:val="00D62388"/>
    <w:rsid w:val="00D635A8"/>
    <w:rsid w:val="00D665A6"/>
    <w:rsid w:val="00D70E8D"/>
    <w:rsid w:val="00D71576"/>
    <w:rsid w:val="00D761BD"/>
    <w:rsid w:val="00D77492"/>
    <w:rsid w:val="00D802DC"/>
    <w:rsid w:val="00D82F93"/>
    <w:rsid w:val="00D8558F"/>
    <w:rsid w:val="00D875A4"/>
    <w:rsid w:val="00D956CE"/>
    <w:rsid w:val="00D971FA"/>
    <w:rsid w:val="00DA24DB"/>
    <w:rsid w:val="00DA7C20"/>
    <w:rsid w:val="00DB37A7"/>
    <w:rsid w:val="00DB3918"/>
    <w:rsid w:val="00DB4057"/>
    <w:rsid w:val="00DB56F3"/>
    <w:rsid w:val="00DB60D9"/>
    <w:rsid w:val="00DB65C2"/>
    <w:rsid w:val="00DB675D"/>
    <w:rsid w:val="00DC0907"/>
    <w:rsid w:val="00DC2D1A"/>
    <w:rsid w:val="00DC31B4"/>
    <w:rsid w:val="00DC3C7A"/>
    <w:rsid w:val="00DC5D28"/>
    <w:rsid w:val="00DC7640"/>
    <w:rsid w:val="00DD4727"/>
    <w:rsid w:val="00DD694B"/>
    <w:rsid w:val="00DD7471"/>
    <w:rsid w:val="00DE20D3"/>
    <w:rsid w:val="00DE2558"/>
    <w:rsid w:val="00DF1A61"/>
    <w:rsid w:val="00DF525D"/>
    <w:rsid w:val="00DF7850"/>
    <w:rsid w:val="00DF7A47"/>
    <w:rsid w:val="00E0069D"/>
    <w:rsid w:val="00E030A1"/>
    <w:rsid w:val="00E0545F"/>
    <w:rsid w:val="00E11210"/>
    <w:rsid w:val="00E12E35"/>
    <w:rsid w:val="00E14960"/>
    <w:rsid w:val="00E20D8F"/>
    <w:rsid w:val="00E24A03"/>
    <w:rsid w:val="00E30FFD"/>
    <w:rsid w:val="00E370CE"/>
    <w:rsid w:val="00E43EA3"/>
    <w:rsid w:val="00E45881"/>
    <w:rsid w:val="00E50626"/>
    <w:rsid w:val="00E51EF2"/>
    <w:rsid w:val="00E55DB9"/>
    <w:rsid w:val="00E612E7"/>
    <w:rsid w:val="00E648AC"/>
    <w:rsid w:val="00E658EC"/>
    <w:rsid w:val="00E67290"/>
    <w:rsid w:val="00E72833"/>
    <w:rsid w:val="00E7433C"/>
    <w:rsid w:val="00E75C84"/>
    <w:rsid w:val="00E8219D"/>
    <w:rsid w:val="00E84594"/>
    <w:rsid w:val="00E84E9A"/>
    <w:rsid w:val="00E95794"/>
    <w:rsid w:val="00E9595B"/>
    <w:rsid w:val="00EA00B4"/>
    <w:rsid w:val="00EA72DE"/>
    <w:rsid w:val="00EB22CD"/>
    <w:rsid w:val="00EB6DE0"/>
    <w:rsid w:val="00EC0B1E"/>
    <w:rsid w:val="00EC0E51"/>
    <w:rsid w:val="00EC1D0F"/>
    <w:rsid w:val="00ED0C5D"/>
    <w:rsid w:val="00ED4626"/>
    <w:rsid w:val="00ED768A"/>
    <w:rsid w:val="00EE08F4"/>
    <w:rsid w:val="00EE5458"/>
    <w:rsid w:val="00EE7C81"/>
    <w:rsid w:val="00EF7DE7"/>
    <w:rsid w:val="00F07EBD"/>
    <w:rsid w:val="00F16E14"/>
    <w:rsid w:val="00F24D3E"/>
    <w:rsid w:val="00F25B8F"/>
    <w:rsid w:val="00F30D67"/>
    <w:rsid w:val="00F31801"/>
    <w:rsid w:val="00F3617E"/>
    <w:rsid w:val="00F369A9"/>
    <w:rsid w:val="00F41CF6"/>
    <w:rsid w:val="00F41F2D"/>
    <w:rsid w:val="00F42A68"/>
    <w:rsid w:val="00F474B8"/>
    <w:rsid w:val="00F56A62"/>
    <w:rsid w:val="00F60E40"/>
    <w:rsid w:val="00F62828"/>
    <w:rsid w:val="00F7348C"/>
    <w:rsid w:val="00F74E2A"/>
    <w:rsid w:val="00F76795"/>
    <w:rsid w:val="00F81B3C"/>
    <w:rsid w:val="00F860BE"/>
    <w:rsid w:val="00F9182D"/>
    <w:rsid w:val="00F96644"/>
    <w:rsid w:val="00F97403"/>
    <w:rsid w:val="00FA103E"/>
    <w:rsid w:val="00FA26D3"/>
    <w:rsid w:val="00FA2724"/>
    <w:rsid w:val="00FA4186"/>
    <w:rsid w:val="00FA63A5"/>
    <w:rsid w:val="00FA645E"/>
    <w:rsid w:val="00FB00B7"/>
    <w:rsid w:val="00FB118B"/>
    <w:rsid w:val="00FB22E1"/>
    <w:rsid w:val="00FB606A"/>
    <w:rsid w:val="00FB7A99"/>
    <w:rsid w:val="00FC2415"/>
    <w:rsid w:val="00FC316D"/>
    <w:rsid w:val="00FC3A77"/>
    <w:rsid w:val="00FD174B"/>
    <w:rsid w:val="00FD7585"/>
    <w:rsid w:val="00FD7ED4"/>
    <w:rsid w:val="00FF2379"/>
    <w:rsid w:val="012D5FAC"/>
    <w:rsid w:val="021A68E3"/>
    <w:rsid w:val="02C37C16"/>
    <w:rsid w:val="02D61BE4"/>
    <w:rsid w:val="03BE185C"/>
    <w:rsid w:val="040A684F"/>
    <w:rsid w:val="05DB2490"/>
    <w:rsid w:val="089B49C0"/>
    <w:rsid w:val="0BED636B"/>
    <w:rsid w:val="0D796FF2"/>
    <w:rsid w:val="0E3746E5"/>
    <w:rsid w:val="1230129F"/>
    <w:rsid w:val="12D12768"/>
    <w:rsid w:val="13820C99"/>
    <w:rsid w:val="14952100"/>
    <w:rsid w:val="161A0996"/>
    <w:rsid w:val="16A95B46"/>
    <w:rsid w:val="1AF37BE5"/>
    <w:rsid w:val="1CAE5480"/>
    <w:rsid w:val="1ED23537"/>
    <w:rsid w:val="22715FC0"/>
    <w:rsid w:val="230E7CB2"/>
    <w:rsid w:val="233525E7"/>
    <w:rsid w:val="23E05F69"/>
    <w:rsid w:val="24547947"/>
    <w:rsid w:val="25CC2840"/>
    <w:rsid w:val="269A12B0"/>
    <w:rsid w:val="2A021BF3"/>
    <w:rsid w:val="2DBE20F7"/>
    <w:rsid w:val="2EFC1307"/>
    <w:rsid w:val="3083399A"/>
    <w:rsid w:val="30A159FB"/>
    <w:rsid w:val="313034EA"/>
    <w:rsid w:val="31315D4F"/>
    <w:rsid w:val="31570A76"/>
    <w:rsid w:val="352549E8"/>
    <w:rsid w:val="357339A5"/>
    <w:rsid w:val="35B00755"/>
    <w:rsid w:val="38CD59AE"/>
    <w:rsid w:val="3ACE1D17"/>
    <w:rsid w:val="3BC474F9"/>
    <w:rsid w:val="3DA5531C"/>
    <w:rsid w:val="40AA6120"/>
    <w:rsid w:val="42FB0D1D"/>
    <w:rsid w:val="43394C95"/>
    <w:rsid w:val="44EB1E2C"/>
    <w:rsid w:val="451C7BB5"/>
    <w:rsid w:val="48B14AB8"/>
    <w:rsid w:val="4A8F4397"/>
    <w:rsid w:val="4BAD658C"/>
    <w:rsid w:val="4EBE224A"/>
    <w:rsid w:val="4EE6450A"/>
    <w:rsid w:val="51C20002"/>
    <w:rsid w:val="53570331"/>
    <w:rsid w:val="535D7D17"/>
    <w:rsid w:val="53F83DD2"/>
    <w:rsid w:val="59934492"/>
    <w:rsid w:val="5C9C7228"/>
    <w:rsid w:val="5E897C12"/>
    <w:rsid w:val="5F751F44"/>
    <w:rsid w:val="638E1826"/>
    <w:rsid w:val="63F52B14"/>
    <w:rsid w:val="66067596"/>
    <w:rsid w:val="67AA2FA3"/>
    <w:rsid w:val="67B85F39"/>
    <w:rsid w:val="68327B74"/>
    <w:rsid w:val="694E7565"/>
    <w:rsid w:val="69D263BD"/>
    <w:rsid w:val="69EC374B"/>
    <w:rsid w:val="6A5C61DA"/>
    <w:rsid w:val="6B261E4C"/>
    <w:rsid w:val="6C994D92"/>
    <w:rsid w:val="703D3958"/>
    <w:rsid w:val="7B9C5A57"/>
    <w:rsid w:val="7C2B3C5E"/>
    <w:rsid w:val="7D152442"/>
    <w:rsid w:val="7F70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cs="Times New Roman"/>
      <w:sz w:val="24"/>
      <w:szCs w:val="24"/>
      <w:lang w:val="en-US" w:bidi="ar-SA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customStyle="1" w:styleId="12">
    <w:name w:val="修订1"/>
    <w:hidden/>
    <w:semiHidden/>
    <w:qFormat/>
    <w:uiPriority w:val="99"/>
    <w:rPr>
      <w:rFonts w:ascii="宋体" w:hAnsi="宋体" w:eastAsia="宋体" w:cs="宋体"/>
      <w:sz w:val="22"/>
      <w:szCs w:val="22"/>
      <w:lang w:val="zh-CN" w:eastAsia="zh-CN" w:bidi="zh-CN"/>
    </w:rPr>
  </w:style>
  <w:style w:type="paragraph" w:customStyle="1" w:styleId="13">
    <w:name w:val="修订2"/>
    <w:hidden/>
    <w:semiHidden/>
    <w:qFormat/>
    <w:uiPriority w:val="99"/>
    <w:rPr>
      <w:rFonts w:ascii="宋体" w:hAnsi="宋体" w:eastAsia="宋体" w:cs="宋体"/>
      <w:sz w:val="22"/>
      <w:szCs w:val="22"/>
      <w:lang w:val="zh-CN" w:eastAsia="zh-CN" w:bidi="zh-CN"/>
    </w:rPr>
  </w:style>
  <w:style w:type="character" w:customStyle="1" w:styleId="14">
    <w:name w:val="批注文字 字符"/>
    <w:basedOn w:val="8"/>
    <w:link w:val="2"/>
    <w:semiHidden/>
    <w:qFormat/>
    <w:uiPriority w:val="99"/>
    <w:rPr>
      <w:rFonts w:ascii="宋体" w:hAnsi="宋体" w:cs="宋体"/>
      <w:sz w:val="22"/>
      <w:szCs w:val="22"/>
      <w:lang w:val="zh-CN" w:bidi="zh-CN"/>
    </w:rPr>
  </w:style>
  <w:style w:type="character" w:customStyle="1" w:styleId="15">
    <w:name w:val="批注主题 字符"/>
    <w:basedOn w:val="14"/>
    <w:link w:val="6"/>
    <w:semiHidden/>
    <w:qFormat/>
    <w:uiPriority w:val="99"/>
    <w:rPr>
      <w:rFonts w:ascii="宋体" w:hAnsi="宋体" w:cs="宋体"/>
      <w:b/>
      <w:bCs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1183</Words>
  <Characters>1336</Characters>
  <Lines>9</Lines>
  <Paragraphs>2</Paragraphs>
  <TotalTime>3</TotalTime>
  <ScaleCrop>false</ScaleCrop>
  <LinksUpToDate>false</LinksUpToDate>
  <CharactersWithSpaces>1478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2023-09-20T03:14:00Z</dcterms:created>
  <dc:creator>蔡燕莲</dc:creator>
  <cp:lastModifiedBy>政企项目</cp:lastModifiedBy>
  <cp:lastPrinted>2023-09-20T02:41:00Z</cp:lastPrinted>
  <dcterms:modified xsi:type="dcterms:W3CDTF">2026-05-26T08:25:27Z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DF4C39546CA04B83B7FEA6318D365F8E</vt:lpwstr>
  </property>
  <property fmtid="{D5CDD505-2E9C-101B-9397-08002B2CF9AE}" pid="4" name="KSOTemplateDocerSaveRecord">
    <vt:lpwstr>eyJoZGlkIjoiMWY3MzEyMTBmOGRjNTQyNDIxZDNjY2FhMTJmMjk5MGMiLCJ1c2VySWQiOiIyMzM1MTA5MzgifQ==</vt:lpwstr>
  </property>
</Properties>
</file>