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E62F6">
      <w:pPr>
        <w:jc w:val="left"/>
        <w:rPr>
          <w:rFonts w:hint="eastAsia" w:ascii="宋体" w:hAnsi="宋体" w:cs="宋体"/>
          <w:bCs/>
          <w:iCs/>
          <w:color w:val="000000"/>
          <w:sz w:val="24"/>
        </w:rPr>
      </w:pPr>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103E62F7">
      <w:pPr>
        <w:spacing w:before="468" w:beforeLines="150" w:after="156" w:afterLines="50" w:line="400" w:lineRule="exact"/>
        <w:jc w:val="center"/>
        <w:rPr>
          <w:rFonts w:hint="eastAsia"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103E62F8">
      <w:pPr>
        <w:spacing w:before="156" w:beforeLines="50" w:after="468" w:afterLines="150" w:line="400" w:lineRule="exact"/>
        <w:jc w:val="center"/>
        <w:rPr>
          <w:rFonts w:hint="eastAsia" w:ascii="宋体" w:hAnsi="宋体" w:cs="宋体"/>
          <w:b/>
          <w:bCs/>
          <w:iCs/>
          <w:color w:val="000000"/>
          <w:sz w:val="32"/>
          <w:szCs w:val="32"/>
        </w:rPr>
      </w:pPr>
      <w:r>
        <w:rPr>
          <w:rFonts w:hint="eastAsia" w:ascii="宋体" w:hAnsi="宋体" w:cs="宋体"/>
          <w:b/>
          <w:bCs/>
          <w:iCs/>
          <w:color w:val="000000"/>
          <w:sz w:val="32"/>
          <w:szCs w:val="32"/>
        </w:rPr>
        <w:t>投资者关系活动记录表</w:t>
      </w:r>
    </w:p>
    <w:p w14:paraId="103E62F9">
      <w:pPr>
        <w:wordWrap w:val="0"/>
        <w:spacing w:line="400" w:lineRule="exact"/>
        <w:ind w:right="-57" w:rightChars="-27"/>
        <w:jc w:val="right"/>
        <w:rPr>
          <w:bCs/>
          <w:iCs/>
          <w:color w:val="000000"/>
          <w:highlight w:val="yellow"/>
        </w:rPr>
      </w:pPr>
      <w:r>
        <w:rPr>
          <w:bCs/>
          <w:iCs/>
          <w:color w:val="000000"/>
        </w:rPr>
        <w:t>编号：</w:t>
      </w:r>
      <w:r>
        <w:rPr>
          <w:rFonts w:hint="eastAsia"/>
          <w:bCs/>
          <w:iCs/>
          <w:color w:val="000000"/>
        </w:rPr>
        <w:t>2026-001</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103E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103E62FA">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投资者关系活动类别</w:t>
            </w:r>
          </w:p>
        </w:tc>
        <w:tc>
          <w:tcPr>
            <w:tcW w:w="3899" w:type="pct"/>
            <w:vAlign w:val="center"/>
          </w:tcPr>
          <w:p w14:paraId="103E62FB">
            <w:pPr>
              <w:spacing w:line="480" w:lineRule="atLeast"/>
              <w:ind w:firstLine="120" w:firstLineChars="50"/>
              <w:rPr>
                <w:rFonts w:hint="default" w:ascii="Times New Roman" w:hAnsi="Times New Roman" w:cs="Times New Roman"/>
                <w:sz w:val="24"/>
              </w:rPr>
            </w:pPr>
            <w:r>
              <w:rPr>
                <w:rFonts w:hint="default" w:ascii="Times New Roman" w:hAnsi="Times New Roman" w:cs="Times New Roman"/>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特定对象调研   </w:t>
            </w:r>
            <w:r>
              <w:rPr>
                <w:rFonts w:hint="default" w:ascii="Times New Roman" w:hAnsi="Times New Roman" w:cs="Times New Roman"/>
                <w:sz w:val="24"/>
              </w:rPr>
              <w:sym w:font="Wingdings 2" w:char="00A3"/>
            </w:r>
            <w:r>
              <w:rPr>
                <w:rFonts w:hint="default" w:ascii="Times New Roman" w:hAnsi="Times New Roman" w:cs="Times New Roman"/>
                <w:sz w:val="24"/>
              </w:rPr>
              <w:t xml:space="preserve"> 分析师会议      </w:t>
            </w:r>
            <w:r>
              <w:rPr>
                <w:rFonts w:hint="default" w:ascii="Times New Roman" w:hAnsi="Times New Roman" w:cs="Times New Roman"/>
                <w:bCs/>
                <w:iCs/>
                <w:color w:val="000000"/>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媒体采访   </w:t>
            </w:r>
          </w:p>
          <w:p w14:paraId="103E62FC">
            <w:pPr>
              <w:spacing w:line="480" w:lineRule="atLeast"/>
              <w:ind w:firstLine="120" w:firstLineChars="50"/>
              <w:rPr>
                <w:rFonts w:hint="default" w:ascii="Times New Roman" w:hAnsi="Times New Roman" w:cs="Times New Roman"/>
                <w:sz w:val="24"/>
              </w:rPr>
            </w:pPr>
            <w:r>
              <w:rPr>
                <w:rFonts w:hint="default" w:ascii="Times New Roman" w:hAnsi="Times New Roman" w:cs="Times New Roman"/>
                <w:sz w:val="24"/>
              </w:rPr>
              <w:t xml:space="preserve">☑ 业绩说明会     </w:t>
            </w:r>
            <w:r>
              <w:rPr>
                <w:rFonts w:hint="default" w:ascii="Times New Roman" w:hAnsi="Times New Roman" w:cs="Times New Roman"/>
                <w:bCs/>
                <w:iCs/>
                <w:color w:val="000000"/>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新闻发布会      </w:t>
            </w:r>
            <w:r>
              <w:rPr>
                <w:rFonts w:hint="default" w:ascii="Times New Roman" w:hAnsi="Times New Roman" w:cs="Times New Roman"/>
                <w:bCs/>
                <w:iCs/>
                <w:color w:val="000000"/>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路演活动    </w:t>
            </w:r>
          </w:p>
          <w:p w14:paraId="103E62FD">
            <w:pPr>
              <w:spacing w:line="480" w:lineRule="atLeast"/>
              <w:ind w:firstLine="120" w:firstLineChars="50"/>
              <w:rPr>
                <w:rFonts w:hint="default" w:ascii="Times New Roman" w:hAnsi="Times New Roman" w:cs="Times New Roman"/>
                <w:bCs/>
                <w:iCs/>
                <w:color w:val="000000"/>
                <w:sz w:val="24"/>
              </w:rPr>
            </w:pPr>
            <w:r>
              <w:rPr>
                <w:rFonts w:hint="default" w:ascii="Times New Roman" w:hAnsi="Times New Roman" w:cs="Times New Roman"/>
                <w:bCs/>
                <w:iCs/>
                <w:color w:val="000000"/>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现场交流       </w:t>
            </w:r>
            <w:r>
              <w:rPr>
                <w:rFonts w:hint="default" w:ascii="Times New Roman" w:hAnsi="Times New Roman" w:cs="Times New Roman"/>
                <w:bCs/>
                <w:iCs/>
                <w:color w:val="000000"/>
                <w:sz w:val="24"/>
              </w:rPr>
              <w:sym w:font="Wingdings 2" w:char="00A3"/>
            </w:r>
            <w:r>
              <w:rPr>
                <w:rFonts w:hint="default" w:ascii="Times New Roman" w:hAnsi="Times New Roman" w:cs="Times New Roman"/>
                <w:bCs/>
                <w:iCs/>
                <w:color w:val="000000"/>
                <w:sz w:val="24"/>
              </w:rPr>
              <w:t xml:space="preserve"> </w:t>
            </w:r>
            <w:r>
              <w:rPr>
                <w:rFonts w:hint="default" w:ascii="Times New Roman" w:hAnsi="Times New Roman" w:cs="Times New Roman"/>
                <w:sz w:val="24"/>
              </w:rPr>
              <w:t xml:space="preserve">电话会议        </w:t>
            </w:r>
            <w:r>
              <w:rPr>
                <w:rFonts w:hint="default" w:ascii="Times New Roman" w:hAnsi="Times New Roman" w:cs="Times New Roman"/>
                <w:bCs/>
                <w:iCs/>
                <w:color w:val="000000"/>
                <w:sz w:val="24"/>
              </w:rPr>
              <w:sym w:font="Wingdings 2" w:char="00A3"/>
            </w:r>
            <w:r>
              <w:rPr>
                <w:rFonts w:hint="default" w:ascii="Times New Roman" w:hAnsi="Times New Roman" w:cs="Times New Roman"/>
                <w:sz w:val="24"/>
              </w:rPr>
              <w:t xml:space="preserve"> 投资者交流会</w:t>
            </w:r>
          </w:p>
        </w:tc>
      </w:tr>
      <w:tr w14:paraId="103E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103E62FF">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参与单位及人员</w:t>
            </w:r>
          </w:p>
        </w:tc>
        <w:tc>
          <w:tcPr>
            <w:tcW w:w="3899" w:type="pct"/>
            <w:vAlign w:val="center"/>
          </w:tcPr>
          <w:p w14:paraId="103E6300">
            <w:pPr>
              <w:pStyle w:val="6"/>
              <w:widowControl/>
              <w:spacing w:before="156" w:beforeLines="50" w:beforeAutospacing="0" w:after="156" w:afterLines="50" w:afterAutospacing="0" w:line="400" w:lineRule="exact"/>
              <w:rPr>
                <w:rFonts w:hint="default" w:ascii="Times New Roman" w:hAnsi="Times New Roman" w:eastAsia="宋体" w:cs="Times New Roman"/>
                <w:bCs/>
                <w:iCs/>
                <w:color w:val="000000"/>
              </w:rPr>
            </w:pPr>
            <w:r>
              <w:rPr>
                <w:rFonts w:hint="default" w:ascii="Times New Roman" w:hAnsi="Times New Roman" w:eastAsia="宋体" w:cs="Times New Roman"/>
                <w:bCs/>
                <w:iCs/>
                <w:color w:val="000000"/>
              </w:rPr>
              <w:t>参与公司2025年度暨2026年第一季度业绩说明会的投资者</w:t>
            </w:r>
          </w:p>
        </w:tc>
      </w:tr>
      <w:tr w14:paraId="103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03E6302">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时间</w:t>
            </w:r>
          </w:p>
        </w:tc>
        <w:tc>
          <w:tcPr>
            <w:tcW w:w="3899" w:type="pct"/>
          </w:tcPr>
          <w:p w14:paraId="103E6303">
            <w:pPr>
              <w:spacing w:line="480" w:lineRule="atLeast"/>
              <w:jc w:val="left"/>
              <w:rPr>
                <w:rFonts w:hint="default" w:ascii="Times New Roman" w:hAnsi="Times New Roman" w:cs="Times New Roman"/>
                <w:bCs/>
                <w:iCs/>
                <w:color w:val="000000"/>
                <w:sz w:val="24"/>
              </w:rPr>
            </w:pPr>
            <w:r>
              <w:rPr>
                <w:rFonts w:hint="default" w:ascii="Times New Roman" w:hAnsi="Times New Roman" w:cs="Times New Roman"/>
                <w:color w:val="000000"/>
                <w:kern w:val="0"/>
                <w:sz w:val="24"/>
              </w:rPr>
              <w:t>2026年5月26日上午</w:t>
            </w:r>
            <w:r>
              <w:rPr>
                <w:rFonts w:hint="default" w:ascii="Times New Roman" w:hAnsi="Times New Roman" w:cs="Times New Roman"/>
                <w:color w:val="000000"/>
                <w:sz w:val="24"/>
                <w:szCs w:val="24"/>
              </w:rPr>
              <w:t>10:00-11:30</w:t>
            </w:r>
          </w:p>
        </w:tc>
      </w:tr>
      <w:tr w14:paraId="103E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03E6305">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地点</w:t>
            </w:r>
          </w:p>
        </w:tc>
        <w:tc>
          <w:tcPr>
            <w:tcW w:w="3899" w:type="pct"/>
          </w:tcPr>
          <w:p w14:paraId="103E6306">
            <w:pPr>
              <w:spacing w:line="480" w:lineRule="atLeast"/>
              <w:jc w:val="left"/>
              <w:rPr>
                <w:rFonts w:hint="default" w:ascii="Times New Roman" w:hAnsi="Times New Roman" w:cs="Times New Roman"/>
                <w:bCs/>
                <w:iCs/>
                <w:color w:val="000000"/>
                <w:sz w:val="24"/>
              </w:rPr>
            </w:pPr>
            <w:r>
              <w:rPr>
                <w:rFonts w:hint="default" w:ascii="Times New Roman" w:hAnsi="Times New Roman" w:cs="Times New Roman"/>
                <w:bCs/>
                <w:iCs/>
                <w:color w:val="000000"/>
                <w:sz w:val="24"/>
              </w:rPr>
              <w:t>上证路演中心</w:t>
            </w:r>
            <w:bookmarkStart w:id="0" w:name="OLE_LINK1"/>
            <w:r>
              <w:rPr>
                <w:rFonts w:hint="default" w:ascii="Times New Roman" w:hAnsi="Times New Roman" w:cs="Times New Roman"/>
                <w:bCs/>
                <w:iCs/>
                <w:color w:val="000000"/>
                <w:sz w:val="24"/>
              </w:rPr>
              <w:t>（roadshow.sseinfo.com）</w:t>
            </w:r>
            <w:bookmarkEnd w:id="0"/>
          </w:p>
        </w:tc>
      </w:tr>
      <w:tr w14:paraId="103E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03E6308">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公司接待人员</w:t>
            </w:r>
          </w:p>
        </w:tc>
        <w:tc>
          <w:tcPr>
            <w:tcW w:w="3899" w:type="pct"/>
          </w:tcPr>
          <w:p w14:paraId="103E6309">
            <w:pPr>
              <w:spacing w:line="480" w:lineRule="atLeast"/>
              <w:jc w:val="left"/>
              <w:rPr>
                <w:rFonts w:hint="default" w:ascii="Times New Roman" w:hAnsi="Times New Roman" w:cs="Times New Roman"/>
                <w:bCs/>
                <w:iCs/>
                <w:color w:val="000000"/>
                <w:sz w:val="24"/>
              </w:rPr>
            </w:pPr>
            <w:r>
              <w:rPr>
                <w:rFonts w:hint="default" w:ascii="Times New Roman" w:hAnsi="Times New Roman" w:cs="Times New Roman"/>
                <w:color w:val="000000"/>
                <w:kern w:val="0"/>
                <w:sz w:val="24"/>
              </w:rPr>
              <w:t>公司董事长陈丽娜女士、董事兼总经理蔡琳琳先生、独立董事闫亚君先生、董事会秘书黄璇女士、财务总监吴淑妃女士及相关工作人员</w:t>
            </w:r>
          </w:p>
        </w:tc>
      </w:tr>
      <w:tr w14:paraId="103E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103E630B">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投资者关系活动主要内容介绍</w:t>
            </w:r>
          </w:p>
        </w:tc>
        <w:tc>
          <w:tcPr>
            <w:tcW w:w="3899" w:type="pct"/>
          </w:tcPr>
          <w:p w14:paraId="103E630C">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公司</w:t>
            </w:r>
            <w:r>
              <w:rPr>
                <w:rFonts w:hint="default" w:ascii="Times New Roman" w:hAnsi="Times New Roman" w:cs="Times New Roman"/>
                <w:sz w:val="24"/>
              </w:rPr>
              <w:t>通过视频录播的形式向投资者介绍2025年度及2026年一季度的经营成果和业绩情况，参与本次业绩说明会的公司接待人员，在法律、法规及规范性文件等相关规定允许的范围内通过网络文字互动的形式</w:t>
            </w:r>
            <w:r>
              <w:rPr>
                <w:rFonts w:hint="default" w:ascii="Times New Roman" w:hAnsi="Times New Roman" w:cs="Times New Roman"/>
                <w:sz w:val="24"/>
                <w:lang w:val="en-US" w:eastAsia="zh-CN"/>
              </w:rPr>
              <w:t>对</w:t>
            </w:r>
            <w:r>
              <w:rPr>
                <w:rFonts w:hint="default" w:ascii="Times New Roman" w:hAnsi="Times New Roman" w:cs="Times New Roman"/>
                <w:sz w:val="24"/>
              </w:rPr>
              <w:t>投资者关注的问题予以及时答复，不涉及应当披露的重大信息。公司就本次业绩说明会网络文字互动环节主要内容</w:t>
            </w:r>
            <w:r>
              <w:rPr>
                <w:rFonts w:hint="default" w:ascii="Times New Roman" w:hAnsi="Times New Roman" w:cs="Times New Roman"/>
                <w:color w:val="000000"/>
                <w:kern w:val="0"/>
                <w:sz w:val="24"/>
                <w:szCs w:val="24"/>
              </w:rPr>
              <w:t>整理</w:t>
            </w:r>
            <w:r>
              <w:rPr>
                <w:rFonts w:hint="default" w:ascii="Times New Roman" w:hAnsi="Times New Roman" w:cs="Times New Roman"/>
                <w:sz w:val="24"/>
              </w:rPr>
              <w:t>如下：</w:t>
            </w:r>
          </w:p>
          <w:p w14:paraId="085C356E">
            <w:pPr>
              <w:spacing w:line="360" w:lineRule="auto"/>
              <w:ind w:firstLine="480"/>
              <w:rPr>
                <w:rFonts w:hint="default" w:ascii="Times New Roman" w:hAnsi="Times New Roman" w:cs="Times New Roman"/>
                <w:sz w:val="24"/>
              </w:rPr>
            </w:pPr>
            <w:r>
              <w:rPr>
                <w:rFonts w:hint="default" w:ascii="Times New Roman" w:hAnsi="Times New Roman" w:cs="Times New Roman"/>
                <w:sz w:val="24"/>
              </w:rPr>
              <w:t>1、请问25年全年公司营收10.13亿，扣非净利润7941万，今年一季度营收2.094亿同比增长13.28%，扣非净利润6299万同比增长348.03%，一季度营业收入是去年的4/1，扣非净利润确要跟去年持平了，请问利润是怎么算的，利润可持续吗？</w:t>
            </w:r>
          </w:p>
          <w:p w14:paraId="4101CF2E">
            <w:pPr>
              <w:spacing w:line="360" w:lineRule="auto"/>
              <w:ind w:firstLine="480"/>
              <w:rPr>
                <w:rFonts w:hint="default" w:ascii="Times New Roman" w:hAnsi="Times New Roman" w:cs="Times New Roman"/>
                <w:sz w:val="24"/>
              </w:rPr>
            </w:pPr>
            <w:r>
              <w:rPr>
                <w:rFonts w:hint="default" w:ascii="Times New Roman" w:hAnsi="Times New Roman" w:cs="Times New Roman"/>
                <w:sz w:val="24"/>
              </w:rPr>
              <w:t>答：公司严格按照企业会计准则进行会计核算与报表编制，2026年第一季度利润同比大幅度增长主要受本期营业收入增加，公司通过优化产品结构、持续提升产品技术水平，主要产品毛利率提高，以及收到软件产品增值税即征即退税、定期存款产品获取利息收入增加影响。公司2025年及2026年第一季度经营业绩持续保持向好的核心驱动力主要有：一、下游市场需求持续回暖。受益于公交客车进入新的换车周期、卡车电动化率持续提升、出口业务增长以及政策红利，公司产品的下游需求稳步释放。二、公司产品结构持续优化，并通过新产品开发、产品系列化开发以及产品的持续迭代，提高产品技术水平及市场竞争力，技术含量较高的产品收入占比增加，盈利能力增强。长期来看，随着</w:t>
            </w:r>
            <w:r>
              <w:rPr>
                <w:rFonts w:hint="eastAsia" w:cs="Times New Roman"/>
                <w:sz w:val="24"/>
                <w:lang w:eastAsia="zh-CN"/>
              </w:rPr>
              <w:t>“</w:t>
            </w:r>
            <w:r>
              <w:rPr>
                <w:rFonts w:hint="default" w:ascii="Times New Roman" w:hAnsi="Times New Roman" w:cs="Times New Roman"/>
                <w:sz w:val="24"/>
              </w:rPr>
              <w:t>车路云一体化</w:t>
            </w:r>
            <w:r>
              <w:rPr>
                <w:rFonts w:hint="eastAsia" w:cs="Times New Roman"/>
                <w:sz w:val="24"/>
                <w:lang w:eastAsia="zh-CN"/>
              </w:rPr>
              <w:t>”</w:t>
            </w:r>
            <w:r>
              <w:rPr>
                <w:rFonts w:hint="default" w:ascii="Times New Roman" w:hAnsi="Times New Roman" w:cs="Times New Roman"/>
                <w:sz w:val="24"/>
              </w:rPr>
              <w:t>等智能网联政策持续深化，公司将持续夯实核心主业优势，积极拓展卡车等商用车、工程机械及移动医疗等新业务，进一步巩固市场竞争优势，推动企</w:t>
            </w:r>
            <w:bookmarkStart w:id="1" w:name="_GoBack"/>
            <w:bookmarkEnd w:id="1"/>
            <w:r>
              <w:rPr>
                <w:rFonts w:hint="default" w:ascii="Times New Roman" w:hAnsi="Times New Roman" w:cs="Times New Roman"/>
                <w:sz w:val="24"/>
              </w:rPr>
              <w:t>业持续健康高质量发展，为广大投资者创造稳定良好的回报。</w:t>
            </w:r>
          </w:p>
          <w:p w14:paraId="6AEE415B">
            <w:pPr>
              <w:spacing w:line="360" w:lineRule="auto"/>
              <w:ind w:firstLine="480"/>
              <w:rPr>
                <w:rFonts w:hint="default" w:ascii="Times New Roman" w:hAnsi="Times New Roman" w:cs="Times New Roman"/>
                <w:sz w:val="24"/>
              </w:rPr>
            </w:pPr>
            <w:r>
              <w:rPr>
                <w:rFonts w:hint="default" w:ascii="Times New Roman" w:hAnsi="Times New Roman" w:cs="Times New Roman"/>
                <w:sz w:val="24"/>
              </w:rPr>
              <w:t>2、请问公司近年是否存在向欧盟成员国出口或销售的相关业务？</w:t>
            </w:r>
          </w:p>
          <w:p w14:paraId="70AABD89">
            <w:pPr>
              <w:spacing w:line="360" w:lineRule="auto"/>
              <w:ind w:firstLine="480"/>
              <w:rPr>
                <w:rFonts w:hint="default" w:ascii="Times New Roman" w:hAnsi="Times New Roman" w:cs="Times New Roman"/>
                <w:sz w:val="24"/>
              </w:rPr>
            </w:pPr>
            <w:r>
              <w:rPr>
                <w:rFonts w:hint="default" w:ascii="Times New Roman" w:hAnsi="Times New Roman" w:cs="Times New Roman"/>
                <w:sz w:val="24"/>
              </w:rPr>
              <w:t>答：目前公司出口业务主要以配套国内主流商用车生产企业海外项目的模式销售，存在国内商用车生产企业配套公司产品出口欧洲市场的情况；公司暂未直接向欧盟成员国出口或者销售产品。公司正逐步完善海外业务团队建设、产品系列，建立、完善直接出口销售网络，并通过设立海外设计中心等方式，以在出口业务开拓过程提供更贴合海外市场需求的产品。</w:t>
            </w:r>
          </w:p>
          <w:p w14:paraId="6E3A47A2">
            <w:pPr>
              <w:spacing w:line="360" w:lineRule="auto"/>
              <w:ind w:firstLine="480"/>
              <w:rPr>
                <w:rFonts w:hint="default" w:ascii="Times New Roman" w:hAnsi="Times New Roman" w:cs="Times New Roman"/>
                <w:sz w:val="24"/>
              </w:rPr>
            </w:pPr>
            <w:r>
              <w:rPr>
                <w:rFonts w:hint="default" w:ascii="Times New Roman" w:hAnsi="Times New Roman" w:cs="Times New Roman"/>
                <w:sz w:val="24"/>
              </w:rPr>
              <w:t>3、公司2025年分红预案分红比例较高，请问公司后续是否将持续保持稳定分红节奏，同时有无进一步提升现金分红水平、丰富股东回报方式的相关规划？</w:t>
            </w:r>
          </w:p>
          <w:p w14:paraId="67DB3F5F">
            <w:pPr>
              <w:spacing w:line="360" w:lineRule="auto"/>
              <w:ind w:firstLine="480"/>
              <w:rPr>
                <w:rFonts w:hint="default" w:ascii="Times New Roman" w:hAnsi="Times New Roman" w:cs="Times New Roman"/>
                <w:sz w:val="24"/>
              </w:rPr>
            </w:pPr>
            <w:r>
              <w:rPr>
                <w:rFonts w:hint="default" w:ascii="Times New Roman" w:hAnsi="Times New Roman" w:cs="Times New Roman"/>
                <w:sz w:val="24"/>
              </w:rPr>
              <w:t>答：公司始终重视对股东的回报，积极与广大投资者共享经营发展成果。2025年度公司拟定每股派发现金红利0.06元（含税），叠加已实施的2025年中期分红17,582,599.20元（含税），全年累计派发现金红利38,681,718.24元（含税），占2025年度归母净利润的45.39%。</w:t>
            </w:r>
          </w:p>
          <w:p w14:paraId="6860FB7C">
            <w:pPr>
              <w:spacing w:line="360" w:lineRule="auto"/>
              <w:ind w:firstLine="480"/>
              <w:rPr>
                <w:rFonts w:hint="default" w:ascii="Times New Roman" w:hAnsi="Times New Roman" w:cs="Times New Roman"/>
                <w:sz w:val="24"/>
              </w:rPr>
            </w:pPr>
            <w:r>
              <w:rPr>
                <w:rFonts w:hint="default" w:ascii="Times New Roman" w:hAnsi="Times New Roman" w:cs="Times New Roman"/>
                <w:sz w:val="24"/>
              </w:rPr>
              <w:t>未来公司将坚持稳健的利润分配政策，综合考量多方面因素统筹制定分红方案：一是依托稳步向好的经营业绩，持续夯实利润分配基础，为稳定分红提供有力支撑；二是兼顾公司长远发展布局，当前公司稳步拓展新业务、布局海外市场并加大研发投入，需预留充足资金保障业务扩张与战略落地，平衡好长期发展与股东分红需求；三是积极吸纳投资者合理建议，延续公司实施中期分红的良好惯例，结合自身盈利水平、现金流情况，适时优化分红比例与分红频次，持续丰富股东回报形式，持续提升投资者的获得感。</w:t>
            </w:r>
          </w:p>
          <w:p w14:paraId="67EE9D6F">
            <w:pPr>
              <w:spacing w:line="360" w:lineRule="auto"/>
              <w:ind w:firstLine="480"/>
              <w:rPr>
                <w:rFonts w:hint="default" w:ascii="Times New Roman" w:hAnsi="Times New Roman" w:cs="Times New Roman"/>
                <w:sz w:val="24"/>
              </w:rPr>
            </w:pPr>
            <w:r>
              <w:rPr>
                <w:rFonts w:hint="default" w:ascii="Times New Roman" w:hAnsi="Times New Roman" w:cs="Times New Roman"/>
                <w:sz w:val="24"/>
              </w:rPr>
              <w:t>4、公司移动医疗业务目前整体发展如何？</w:t>
            </w:r>
          </w:p>
          <w:p w14:paraId="6D8AF604">
            <w:pPr>
              <w:spacing w:line="360" w:lineRule="auto"/>
              <w:ind w:firstLine="480"/>
              <w:rPr>
                <w:rFonts w:hint="default" w:ascii="Times New Roman" w:hAnsi="Times New Roman" w:cs="Times New Roman"/>
                <w:sz w:val="24"/>
              </w:rPr>
            </w:pPr>
            <w:r>
              <w:rPr>
                <w:rFonts w:hint="default" w:ascii="Times New Roman" w:hAnsi="Times New Roman" w:cs="Times New Roman"/>
                <w:sz w:val="24"/>
              </w:rPr>
              <w:t>答：公司移动医疗业务，以医疗车为主要载体，解决了高精密医疗设备在车上的抗震、抗电磁干扰等问题，并打造云端互通平台，构建用户、医生、医院及管理单位的互联互通渠道，为医疗机构、应急管理部门实现便捷、高效、远程诊断医疗服务提供解决方案。公司移动医疗业务围绕健康筛查、康养诊疗服务市场需求，提供解决方案，目前已经具备一定产品规模。2025年，公司移动医疗系列产品矩阵进一步完善，产品进一步优化，营业收入同比虽大幅减少，但部分移动医疗车产品及其租赁业务利润较上年同期有所提高。目前该业务整体处于市场拓展和示范推广阶段，随着人口老龄化程度不断加深、分级诊疗等政策持续推进，基层医疗对移动化、智能化设备的需求持续释放，公司将持续推进移动医疗业务的市场拓展与产品迭代，深化与三甲医院等医疗机构、高校等研究性机构在业务、研发层面的合作，力争实现业务规模稳步增长，持续夯实技术研发与生态建设，进一步夯实其作为公司新兴业务板块的战略地位。</w:t>
            </w:r>
          </w:p>
          <w:p w14:paraId="1017C757">
            <w:pPr>
              <w:spacing w:line="360" w:lineRule="auto"/>
              <w:ind w:firstLine="480"/>
              <w:rPr>
                <w:rFonts w:hint="default" w:ascii="Times New Roman" w:hAnsi="Times New Roman" w:cs="Times New Roman"/>
                <w:sz w:val="24"/>
              </w:rPr>
            </w:pPr>
            <w:r>
              <w:rPr>
                <w:rFonts w:hint="default" w:ascii="Times New Roman" w:hAnsi="Times New Roman" w:cs="Times New Roman"/>
                <w:sz w:val="24"/>
              </w:rPr>
              <w:t>5、年报显示，公司新能源汽车电机与热管理系统系列产品2025年收入同比增长105.31%，实现了翻倍增长，请问原因是什么？</w:t>
            </w:r>
          </w:p>
          <w:p w14:paraId="103E630D">
            <w:pPr>
              <w:spacing w:line="360" w:lineRule="auto"/>
              <w:ind w:firstLine="480"/>
              <w:rPr>
                <w:rFonts w:hint="default" w:ascii="Times New Roman" w:hAnsi="Times New Roman" w:cs="Times New Roman"/>
                <w:sz w:val="24"/>
              </w:rPr>
            </w:pPr>
            <w:r>
              <w:rPr>
                <w:rFonts w:hint="default" w:ascii="Times New Roman" w:hAnsi="Times New Roman" w:cs="Times New Roman"/>
                <w:sz w:val="24"/>
              </w:rPr>
              <w:t>答：相关产品收入持续增长的原因主要有：一、下游市场需求持续回暖。受益于卡车电动化率持续提升、公交客车进入新的换车周期、出口业务增长以及政策红利，公司产品的下游需求稳步释放。二、通过产品系列化开发及持续迭代，不断提高产品技术水平及市场竞争力，如推出第五代电子风扇300W/500W/800W/1200W等新一代产品的不同系列等，为相关产品收入的持续增长奠定坚实基础。</w:t>
            </w:r>
          </w:p>
          <w:p w14:paraId="103E630E">
            <w:pPr>
              <w:spacing w:line="360" w:lineRule="auto"/>
              <w:ind w:firstLine="480"/>
              <w:rPr>
                <w:rFonts w:hint="default" w:ascii="Times New Roman" w:hAnsi="Times New Roman" w:cs="Times New Roman"/>
                <w:sz w:val="24"/>
              </w:rPr>
            </w:pPr>
            <w:r>
              <w:rPr>
                <w:rFonts w:hint="default" w:ascii="Times New Roman" w:hAnsi="Times New Roman" w:cs="Times New Roman"/>
                <w:sz w:val="24"/>
              </w:rPr>
              <w:t>关于本次说明会的具体情况，投资者可登录上证路演中心（roadshow.sseinfo.com）查看。</w:t>
            </w:r>
          </w:p>
        </w:tc>
      </w:tr>
      <w:tr w14:paraId="103E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103E6310">
            <w:pPr>
              <w:spacing w:line="480" w:lineRule="atLeast"/>
              <w:jc w:val="center"/>
              <w:rPr>
                <w:rFonts w:hint="default" w:ascii="Times New Roman" w:hAnsi="Times New Roman" w:cs="Times New Roman"/>
                <w:b/>
                <w:bCs/>
                <w:iCs/>
                <w:color w:val="000000"/>
                <w:sz w:val="24"/>
              </w:rPr>
            </w:pPr>
            <w:r>
              <w:rPr>
                <w:rFonts w:hint="default" w:ascii="Times New Roman" w:hAnsi="Times New Roman" w:cs="Times New Roman"/>
                <w:b/>
                <w:bCs/>
                <w:iCs/>
                <w:color w:val="000000"/>
                <w:sz w:val="24"/>
              </w:rPr>
              <w:t>整理日期</w:t>
            </w:r>
          </w:p>
        </w:tc>
        <w:tc>
          <w:tcPr>
            <w:tcW w:w="3899" w:type="pct"/>
          </w:tcPr>
          <w:p w14:paraId="103E6311">
            <w:pPr>
              <w:spacing w:line="480" w:lineRule="atLeast"/>
              <w:jc w:val="lef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2026年5月26日</w:t>
            </w:r>
          </w:p>
        </w:tc>
      </w:tr>
    </w:tbl>
    <w:p w14:paraId="103E6313"/>
    <w:p w14:paraId="103E6314"/>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6315">
    <w:pPr>
      <w:pStyle w:val="4"/>
      <w:jc w:val="center"/>
    </w:pPr>
    <w:r>
      <w:fldChar w:fldCharType="begin"/>
    </w:r>
    <w:r>
      <w:instrText xml:space="preserve"> PAGE   \* MERGEFORMAT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30B48"/>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3891"/>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643BD"/>
    <w:rsid w:val="00670690"/>
    <w:rsid w:val="00687F8F"/>
    <w:rsid w:val="006C3946"/>
    <w:rsid w:val="006D1375"/>
    <w:rsid w:val="006E6424"/>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C754E"/>
    <w:rsid w:val="00ED079F"/>
    <w:rsid w:val="00EF2611"/>
    <w:rsid w:val="00F90B3D"/>
    <w:rsid w:val="00FC6099"/>
    <w:rsid w:val="00FF21D6"/>
    <w:rsid w:val="03455B52"/>
    <w:rsid w:val="0657008A"/>
    <w:rsid w:val="0A2A7085"/>
    <w:rsid w:val="0DAE0BA6"/>
    <w:rsid w:val="0F6C2C3F"/>
    <w:rsid w:val="116952AA"/>
    <w:rsid w:val="119A16E8"/>
    <w:rsid w:val="129C34DE"/>
    <w:rsid w:val="13CF7127"/>
    <w:rsid w:val="14F93B44"/>
    <w:rsid w:val="1CAE153A"/>
    <w:rsid w:val="1F7F3994"/>
    <w:rsid w:val="201B5C14"/>
    <w:rsid w:val="21DF022A"/>
    <w:rsid w:val="22EE1442"/>
    <w:rsid w:val="23723B40"/>
    <w:rsid w:val="28150BBD"/>
    <w:rsid w:val="2B353E5D"/>
    <w:rsid w:val="371A716A"/>
    <w:rsid w:val="379C2C25"/>
    <w:rsid w:val="38083610"/>
    <w:rsid w:val="3C0A11D2"/>
    <w:rsid w:val="3FFE01D9"/>
    <w:rsid w:val="439125FD"/>
    <w:rsid w:val="451078BA"/>
    <w:rsid w:val="485C1EAF"/>
    <w:rsid w:val="48644951"/>
    <w:rsid w:val="48E7672C"/>
    <w:rsid w:val="48F01CCF"/>
    <w:rsid w:val="4AAB55FC"/>
    <w:rsid w:val="4B2D736B"/>
    <w:rsid w:val="4E0D48F5"/>
    <w:rsid w:val="4E732176"/>
    <w:rsid w:val="5C823B46"/>
    <w:rsid w:val="68C0420A"/>
    <w:rsid w:val="6E4B1546"/>
    <w:rsid w:val="6F0C44C5"/>
    <w:rsid w:val="78174AB4"/>
    <w:rsid w:val="79675312"/>
    <w:rsid w:val="7AE25EE5"/>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cf3c1634-d806-484b-8457-ec8e095685f7</errorID>
      <errorWord>法律、法规</errorWord>
      <group>L1_Word</group>
      <groupName>字词问题</groupName>
      <ability>L2_Typo</ability>
      <abilityName>字词错误</abilityName>
      <candidateList>
        <item>法律法规</item>
      </candidateList>
      <explain/>
      <paraID>711F2708</paraID>
      <start>18</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CEE5EC28-9C82-4336-B9E3-EBF38CB1B687}">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2139</Words>
  <Characters>2331</Characters>
  <Lines>4</Lines>
  <Paragraphs>1</Paragraphs>
  <TotalTime>3</TotalTime>
  <ScaleCrop>false</ScaleCrop>
  <LinksUpToDate>false</LinksUpToDate>
  <CharactersWithSpaces>2416</CharactersWithSpaces>
  <Application>WPS Office_12.1.0.26375_F1E327BC-269C-435d-A152-05C5408002CA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2026-05-14T02:57:00Z</dcterms:created>
  <dc:creator>shalldo-zzhou</dc:creator>
  <cp:lastModifiedBy>Lyq</cp:lastModifiedBy>
  <cp:lastPrinted>2024-06-27T13:32:00Z</cp:lastPrinted>
  <dcterms:modified xsi:type="dcterms:W3CDTF">2026-05-26T07:36:51Z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01AD456FB91D4278922D76E6C07A0CC4_13</vt:lpwstr>
  </property>
  <property fmtid="{D5CDD505-2E9C-101B-9397-08002B2CF9AE}" pid="4" name="KSOTemplateDocerSaveRecord">
    <vt:lpwstr>eyJoZGlkIjoiN2M0NmUwNjYxMWZjZDhjNGVlZGMwMTI5ZDRjNDg2NWMiLCJ1c2VySWQiOiI1NDE3MzU4NzkifQ==</vt:lpwstr>
  </property>
</Properties>
</file>