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AEFE2">
      <w:pPr>
        <w:pStyle w:val="2"/>
        <w:ind w:right="824"/>
        <w:jc w:val="center"/>
      </w:pPr>
      <w:r>
        <w:rPr>
          <w:rFonts w:hint="eastAsia"/>
          <w:lang w:val="en-US"/>
        </w:rPr>
        <w:t xml:space="preserve">      杭州格林达电子材料</w:t>
      </w:r>
      <w:r>
        <w:t>股份有限公司</w:t>
      </w:r>
    </w:p>
    <w:p w14:paraId="2CD1AB76">
      <w:pPr>
        <w:pStyle w:val="2"/>
        <w:ind w:right="824"/>
        <w:jc w:val="center"/>
      </w:pPr>
      <w:r>
        <w:rPr>
          <w:rFonts w:hint="eastAsia"/>
          <w:lang w:val="en-US"/>
        </w:rPr>
        <w:t xml:space="preserve">       </w:t>
      </w:r>
      <w:r>
        <w:t>投资者关系活动记录表</w:t>
      </w:r>
    </w:p>
    <w:p w14:paraId="02AB9919">
      <w:pPr>
        <w:spacing w:before="154" w:after="32"/>
        <w:ind w:right="679"/>
        <w:jc w:val="right"/>
        <w:rPr>
          <w:sz w:val="28"/>
        </w:rPr>
      </w:pPr>
      <w:r>
        <w:rPr>
          <w:rFonts w:hint="eastAsia"/>
          <w:sz w:val="28"/>
          <w:lang w:val="en-US"/>
        </w:rPr>
        <w:t xml:space="preserve">  </w:t>
      </w:r>
      <w:r>
        <w:rPr>
          <w:sz w:val="28"/>
        </w:rPr>
        <w:t>编号：</w:t>
      </w:r>
      <w:r>
        <w:rPr>
          <w:rFonts w:hint="eastAsia"/>
          <w:sz w:val="28"/>
        </w:rPr>
        <w:t>2026-005</w:t>
      </w:r>
    </w:p>
    <w:tbl>
      <w:tblPr>
        <w:tblStyle w:val="5"/>
        <w:tblW w:w="8525" w:type="dxa"/>
        <w:tblInd w:w="7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77"/>
        <w:gridCol w:w="6148"/>
      </w:tblGrid>
      <w:tr w14:paraId="2FF66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2377" w:type="dxa"/>
          </w:tcPr>
          <w:p w14:paraId="0C1D15A6">
            <w:pPr>
              <w:pStyle w:val="9"/>
              <w:ind w:left="0"/>
              <w:rPr>
                <w:sz w:val="24"/>
              </w:rPr>
            </w:pPr>
          </w:p>
          <w:p w14:paraId="52D4324F">
            <w:pPr>
              <w:pStyle w:val="9"/>
              <w:spacing w:before="12"/>
              <w:ind w:left="0"/>
              <w:rPr>
                <w:sz w:val="31"/>
              </w:rPr>
            </w:pPr>
          </w:p>
          <w:p w14:paraId="319AE997">
            <w:pPr>
              <w:pStyle w:val="9"/>
              <w:rPr>
                <w:sz w:val="24"/>
              </w:rPr>
            </w:pPr>
            <w:r>
              <w:rPr>
                <w:sz w:val="24"/>
              </w:rPr>
              <w:t>投资者关系活动类别</w:t>
            </w:r>
          </w:p>
        </w:tc>
        <w:tc>
          <w:tcPr>
            <w:tcW w:w="6148" w:type="dxa"/>
          </w:tcPr>
          <w:p w14:paraId="1F001BCD">
            <w:pPr>
              <w:pStyle w:val="9"/>
              <w:tabs>
                <w:tab w:val="left" w:pos="2747"/>
              </w:tabs>
              <w:spacing w:before="64"/>
              <w:rPr>
                <w:sz w:val="24"/>
              </w:rPr>
            </w:pPr>
            <w:r>
              <w:rPr>
                <w:rFonts w:hint="eastAsia"/>
                <w:sz w:val="24"/>
              </w:rPr>
              <w:t>√</w:t>
            </w:r>
            <w:r>
              <w:rPr>
                <w:sz w:val="24"/>
              </w:rPr>
              <w:t>特定对象调研</w:t>
            </w:r>
            <w:r>
              <w:rPr>
                <w:sz w:val="24"/>
              </w:rPr>
              <w:tab/>
            </w:r>
            <w:r>
              <w:rPr>
                <w:sz w:val="24"/>
              </w:rPr>
              <w:t>□分析师会议</w:t>
            </w:r>
          </w:p>
          <w:p w14:paraId="6237480F">
            <w:pPr>
              <w:pStyle w:val="9"/>
              <w:tabs>
                <w:tab w:val="left" w:pos="2747"/>
              </w:tabs>
              <w:spacing w:before="130"/>
              <w:rPr>
                <w:sz w:val="24"/>
              </w:rPr>
            </w:pPr>
            <w:r>
              <w:rPr>
                <w:sz w:val="24"/>
              </w:rPr>
              <w:t>□媒体采访</w:t>
            </w:r>
            <w:r>
              <w:rPr>
                <w:sz w:val="24"/>
              </w:rPr>
              <w:tab/>
            </w:r>
            <w:r>
              <w:rPr>
                <w:sz w:val="24"/>
              </w:rPr>
              <w:t>□业绩说明会</w:t>
            </w:r>
          </w:p>
          <w:p w14:paraId="7DD45750">
            <w:pPr>
              <w:pStyle w:val="9"/>
              <w:tabs>
                <w:tab w:val="left" w:pos="2747"/>
              </w:tabs>
              <w:spacing w:before="126"/>
              <w:rPr>
                <w:sz w:val="24"/>
              </w:rPr>
            </w:pPr>
            <w:r>
              <w:rPr>
                <w:sz w:val="24"/>
              </w:rPr>
              <w:t>□新闻发布会</w:t>
            </w:r>
            <w:r>
              <w:rPr>
                <w:sz w:val="24"/>
              </w:rPr>
              <w:tab/>
            </w:r>
            <w:r>
              <w:rPr>
                <w:sz w:val="24"/>
              </w:rPr>
              <w:t>□路演活动</w:t>
            </w:r>
          </w:p>
          <w:p w14:paraId="56269F88">
            <w:pPr>
              <w:pStyle w:val="9"/>
              <w:spacing w:before="128"/>
              <w:rPr>
                <w:sz w:val="24"/>
              </w:rPr>
            </w:pPr>
            <w:r>
              <w:rPr>
                <w:sz w:val="24"/>
              </w:rPr>
              <w:t>□现场参观</w:t>
            </w:r>
          </w:p>
          <w:p w14:paraId="22C30DD5">
            <w:pPr>
              <w:pStyle w:val="9"/>
              <w:spacing w:before="127"/>
              <w:rPr>
                <w:sz w:val="24"/>
              </w:rPr>
            </w:pPr>
            <w:r>
              <w:rPr>
                <w:sz w:val="24"/>
              </w:rPr>
              <w:t>□其他（请文字说明其他活动内容）</w:t>
            </w:r>
          </w:p>
        </w:tc>
      </w:tr>
      <w:tr w14:paraId="27E03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2377" w:type="dxa"/>
          </w:tcPr>
          <w:p w14:paraId="1BD9B899">
            <w:pPr>
              <w:pStyle w:val="9"/>
              <w:spacing w:before="64"/>
              <w:rPr>
                <w:sz w:val="24"/>
              </w:rPr>
            </w:pPr>
            <w:r>
              <w:rPr>
                <w:sz w:val="24"/>
              </w:rPr>
              <w:t>活动参与人员</w:t>
            </w:r>
          </w:p>
        </w:tc>
        <w:tc>
          <w:tcPr>
            <w:tcW w:w="6148" w:type="dxa"/>
          </w:tcPr>
          <w:p w14:paraId="0A8B9502">
            <w:pPr>
              <w:pStyle w:val="9"/>
              <w:ind w:left="0"/>
              <w:rPr>
                <w:rFonts w:hint="eastAsia" w:ascii="Times New Roman"/>
                <w:sz w:val="26"/>
              </w:rPr>
            </w:pPr>
            <w:r>
              <w:rPr>
                <w:rFonts w:ascii="Times New Roman"/>
                <w:szCs w:val="20"/>
              </w:rPr>
              <w:t>国泰海通、嘉实基金、申万宏源、兴业基金、平安资管、光大证券、兴业证券、摩根基金</w:t>
            </w:r>
          </w:p>
        </w:tc>
      </w:tr>
      <w:tr w14:paraId="13A0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377" w:type="dxa"/>
          </w:tcPr>
          <w:p w14:paraId="5F7FF5DE">
            <w:pPr>
              <w:pStyle w:val="9"/>
              <w:spacing w:before="64"/>
              <w:rPr>
                <w:sz w:val="24"/>
              </w:rPr>
            </w:pPr>
            <w:r>
              <w:rPr>
                <w:sz w:val="24"/>
              </w:rPr>
              <w:t>时间</w:t>
            </w:r>
          </w:p>
        </w:tc>
        <w:tc>
          <w:tcPr>
            <w:tcW w:w="6148" w:type="dxa"/>
          </w:tcPr>
          <w:p w14:paraId="4B082C86">
            <w:pPr>
              <w:pStyle w:val="9"/>
              <w:ind w:left="0"/>
              <w:rPr>
                <w:rFonts w:ascii="Times New Roman"/>
                <w:sz w:val="26"/>
              </w:rPr>
            </w:pPr>
            <w:r>
              <w:rPr>
                <w:rFonts w:hint="eastAsia" w:ascii="Times New Roman"/>
                <w:szCs w:val="20"/>
              </w:rPr>
              <w:t>2</w:t>
            </w:r>
            <w:r>
              <w:rPr>
                <w:rFonts w:ascii="Times New Roman"/>
                <w:szCs w:val="20"/>
              </w:rPr>
              <w:t>02</w:t>
            </w:r>
            <w:r>
              <w:rPr>
                <w:rFonts w:hint="eastAsia" w:ascii="Times New Roman"/>
                <w:szCs w:val="20"/>
              </w:rPr>
              <w:t>6.5.26下午3：00</w:t>
            </w:r>
          </w:p>
        </w:tc>
      </w:tr>
      <w:tr w14:paraId="0E13B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219387FF">
            <w:pPr>
              <w:pStyle w:val="9"/>
              <w:spacing w:before="64"/>
              <w:rPr>
                <w:sz w:val="24"/>
              </w:rPr>
            </w:pPr>
            <w:r>
              <w:rPr>
                <w:sz w:val="24"/>
              </w:rPr>
              <w:t>地点</w:t>
            </w:r>
          </w:p>
        </w:tc>
        <w:tc>
          <w:tcPr>
            <w:tcW w:w="6148" w:type="dxa"/>
          </w:tcPr>
          <w:p w14:paraId="33D50453">
            <w:pPr>
              <w:pStyle w:val="9"/>
              <w:ind w:left="0"/>
              <w:rPr>
                <w:rFonts w:ascii="Times New Roman"/>
                <w:sz w:val="26"/>
              </w:rPr>
            </w:pPr>
            <w:r>
              <w:rPr>
                <w:rFonts w:hint="eastAsia"/>
              </w:rPr>
              <w:t>格林达会议室</w:t>
            </w:r>
          </w:p>
        </w:tc>
      </w:tr>
      <w:tr w14:paraId="78BE5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2377" w:type="dxa"/>
          </w:tcPr>
          <w:p w14:paraId="03B0FE89">
            <w:pPr>
              <w:pStyle w:val="9"/>
              <w:spacing w:before="64"/>
              <w:rPr>
                <w:sz w:val="24"/>
              </w:rPr>
            </w:pPr>
            <w:r>
              <w:rPr>
                <w:rFonts w:hint="eastAsia"/>
                <w:sz w:val="24"/>
              </w:rPr>
              <w:t>上市公司接待人员</w:t>
            </w:r>
          </w:p>
        </w:tc>
        <w:tc>
          <w:tcPr>
            <w:tcW w:w="6148" w:type="dxa"/>
          </w:tcPr>
          <w:p w14:paraId="3285A25A">
            <w:pPr>
              <w:pStyle w:val="9"/>
              <w:rPr>
                <w:rFonts w:ascii="Times New Roman"/>
                <w:szCs w:val="20"/>
              </w:rPr>
            </w:pPr>
            <w:r>
              <w:rPr>
                <w:rFonts w:hint="eastAsia" w:ascii="Times New Roman"/>
                <w:szCs w:val="20"/>
              </w:rPr>
              <w:t>总经理</w:t>
            </w:r>
            <w:r>
              <w:rPr>
                <w:rFonts w:hint="eastAsia" w:ascii="Times New Roman"/>
                <w:szCs w:val="20"/>
                <w:lang w:val="en-US" w:eastAsia="zh-CN"/>
              </w:rPr>
              <w:t xml:space="preserve">           </w:t>
            </w:r>
            <w:bookmarkStart w:id="0" w:name="_GoBack"/>
            <w:bookmarkEnd w:id="0"/>
            <w:r>
              <w:rPr>
                <w:rFonts w:hint="eastAsia" w:ascii="Times New Roman"/>
                <w:szCs w:val="20"/>
                <w:lang w:val="en-US" w:eastAsia="zh-CN"/>
              </w:rPr>
              <w:t xml:space="preserve">   </w:t>
            </w:r>
            <w:r>
              <w:rPr>
                <w:rFonts w:hint="eastAsia" w:ascii="Times New Roman"/>
                <w:szCs w:val="20"/>
              </w:rPr>
              <w:t xml:space="preserve">方伟华      </w:t>
            </w:r>
          </w:p>
          <w:p w14:paraId="2C9B8A72">
            <w:pPr>
              <w:pStyle w:val="9"/>
              <w:rPr>
                <w:rFonts w:ascii="Times New Roman"/>
                <w:szCs w:val="20"/>
              </w:rPr>
            </w:pPr>
            <w:r>
              <w:rPr>
                <w:rFonts w:hint="eastAsia" w:ascii="Times New Roman"/>
                <w:szCs w:val="20"/>
              </w:rPr>
              <w:t>财务总监</w:t>
            </w:r>
            <w:r>
              <w:rPr>
                <w:rFonts w:hint="eastAsia" w:ascii="Times New Roman"/>
                <w:szCs w:val="20"/>
                <w:lang w:val="en-US" w:eastAsia="zh-CN"/>
              </w:rPr>
              <w:t xml:space="preserve">          </w:t>
            </w:r>
            <w:r>
              <w:rPr>
                <w:rFonts w:hint="eastAsia" w:ascii="Times New Roman"/>
                <w:szCs w:val="20"/>
              </w:rPr>
              <w:t xml:space="preserve">何婷茹    </w:t>
            </w:r>
          </w:p>
          <w:p w14:paraId="7E09D7C9">
            <w:pPr>
              <w:pStyle w:val="9"/>
              <w:rPr>
                <w:rFonts w:ascii="Times New Roman"/>
                <w:szCs w:val="20"/>
              </w:rPr>
            </w:pPr>
            <w:r>
              <w:rPr>
                <w:rFonts w:hint="eastAsia" w:ascii="Times New Roman"/>
                <w:szCs w:val="20"/>
              </w:rPr>
              <w:t>董事会秘书</w:t>
            </w:r>
            <w:r>
              <w:rPr>
                <w:rFonts w:hint="eastAsia" w:ascii="Times New Roman"/>
                <w:szCs w:val="20"/>
                <w:lang w:val="en-US" w:eastAsia="zh-CN"/>
              </w:rPr>
              <w:t xml:space="preserve">      </w:t>
            </w:r>
            <w:r>
              <w:rPr>
                <w:rFonts w:hint="eastAsia" w:ascii="Times New Roman"/>
                <w:szCs w:val="20"/>
              </w:rPr>
              <w:t>章琪</w:t>
            </w:r>
            <w:r>
              <w:rPr>
                <w:rFonts w:ascii="Times New Roman"/>
                <w:szCs w:val="20"/>
              </w:rPr>
              <w:t xml:space="preserve"> </w:t>
            </w:r>
            <w:r>
              <w:rPr>
                <w:rFonts w:hint="eastAsia" w:ascii="Times New Roman"/>
                <w:szCs w:val="20"/>
              </w:rPr>
              <w:t xml:space="preserve">         </w:t>
            </w:r>
          </w:p>
          <w:p w14:paraId="10FC829E">
            <w:pPr>
              <w:pStyle w:val="9"/>
              <w:rPr>
                <w:rFonts w:ascii="Times New Roman"/>
                <w:sz w:val="26"/>
              </w:rPr>
            </w:pPr>
            <w:r>
              <w:rPr>
                <w:rFonts w:hint="eastAsia" w:ascii="Times New Roman"/>
                <w:szCs w:val="20"/>
              </w:rPr>
              <w:t>证券事务专员</w:t>
            </w:r>
            <w:r>
              <w:rPr>
                <w:rFonts w:hint="eastAsia" w:ascii="Times New Roman"/>
                <w:szCs w:val="20"/>
                <w:lang w:val="en-US" w:eastAsia="zh-CN"/>
              </w:rPr>
              <w:t xml:space="preserve">  </w:t>
            </w:r>
            <w:r>
              <w:rPr>
                <w:rFonts w:hint="eastAsia" w:ascii="Times New Roman"/>
                <w:szCs w:val="20"/>
              </w:rPr>
              <w:t>王责宇</w:t>
            </w:r>
            <w:r>
              <w:rPr>
                <w:rFonts w:ascii="Times New Roman"/>
                <w:szCs w:val="20"/>
              </w:rPr>
              <w:t xml:space="preserve"> </w:t>
            </w:r>
            <w:r>
              <w:rPr>
                <w:rFonts w:hint="eastAsia" w:ascii="Times New Roman"/>
                <w:szCs w:val="20"/>
              </w:rPr>
              <w:t xml:space="preserve">     </w:t>
            </w:r>
          </w:p>
        </w:tc>
      </w:tr>
      <w:tr w14:paraId="41889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2377" w:type="dxa"/>
          </w:tcPr>
          <w:p w14:paraId="1D513ADD">
            <w:pPr>
              <w:pStyle w:val="9"/>
              <w:spacing w:before="67"/>
              <w:rPr>
                <w:sz w:val="24"/>
              </w:rPr>
            </w:pPr>
            <w:r>
              <w:rPr>
                <w:sz w:val="24"/>
              </w:rPr>
              <w:t>交流内容及具体问答</w:t>
            </w:r>
          </w:p>
          <w:p w14:paraId="504BE76F">
            <w:pPr>
              <w:pStyle w:val="9"/>
              <w:spacing w:before="127"/>
              <w:rPr>
                <w:sz w:val="24"/>
              </w:rPr>
            </w:pPr>
            <w:r>
              <w:rPr>
                <w:sz w:val="24"/>
              </w:rPr>
              <w:t>记录</w:t>
            </w:r>
          </w:p>
        </w:tc>
        <w:tc>
          <w:tcPr>
            <w:tcW w:w="6148" w:type="dxa"/>
          </w:tcPr>
          <w:p w14:paraId="54E621A7">
            <w:pPr>
              <w:spacing w:line="360" w:lineRule="auto"/>
              <w:rPr>
                <w:rFonts w:hint="default"/>
                <w:lang w:val="en-US"/>
              </w:rPr>
            </w:pPr>
            <w:r>
              <w:rPr>
                <w:rFonts w:hint="eastAsia"/>
              </w:rPr>
              <w:t>1、公司产品</w:t>
            </w:r>
            <w:r>
              <w:rPr>
                <w:rFonts w:hint="eastAsia"/>
                <w:lang w:eastAsia="zh-CN"/>
              </w:rPr>
              <w:t>的</w:t>
            </w:r>
            <w:r>
              <w:rPr>
                <w:rFonts w:hint="eastAsia"/>
                <w:lang w:val="en-US" w:eastAsia="zh-CN"/>
              </w:rPr>
              <w:t>市占率情况</w:t>
            </w:r>
          </w:p>
          <w:p w14:paraId="3A7A7743">
            <w:pPr>
              <w:spacing w:line="360" w:lineRule="auto"/>
              <w:rPr>
                <w:rFonts w:hint="eastAsia"/>
              </w:rPr>
            </w:pPr>
            <w:r>
              <w:t>A：公司</w:t>
            </w:r>
            <w:r>
              <w:rPr>
                <w:rFonts w:hint="eastAsia"/>
              </w:rPr>
              <w:t>自2001年成立以来，二十余年如一日深耕超净高纯湿电子化学品领域</w:t>
            </w:r>
            <w:r>
              <w:rPr>
                <w:rFonts w:hint="eastAsia"/>
                <w:lang w:eastAsia="zh-CN"/>
              </w:rPr>
              <w:t>，</w:t>
            </w:r>
            <w:r>
              <w:rPr>
                <w:rFonts w:hint="eastAsia"/>
              </w:rPr>
              <w:t>我们始终聚焦于显影液、蚀刻液、稀释液、清洗液等核心产品的研发、生产和销售，是国内湿电子化学品领域的领军企业，也是国家</w:t>
            </w:r>
            <w:r>
              <w:rPr>
                <w:rFonts w:hint="eastAsia"/>
                <w:lang w:val="en-US" w:eastAsia="zh-CN"/>
              </w:rPr>
              <w:t>级</w:t>
            </w:r>
            <w:r>
              <w:rPr>
                <w:rFonts w:hint="eastAsia"/>
              </w:rPr>
              <w:t>制造业单项冠军示范企业。</w:t>
            </w:r>
          </w:p>
          <w:p w14:paraId="4896762D">
            <w:pPr>
              <w:spacing w:line="360" w:lineRule="auto"/>
              <w:rPr>
                <w:rFonts w:hint="eastAsia"/>
              </w:rPr>
            </w:pPr>
          </w:p>
          <w:p w14:paraId="75B1DBCF">
            <w:pPr>
              <w:spacing w:line="360" w:lineRule="auto"/>
              <w:rPr>
                <w:rFonts w:hint="default" w:eastAsia="仿宋"/>
                <w:lang w:val="en-US" w:eastAsia="zh-CN"/>
              </w:rPr>
            </w:pPr>
            <w:r>
              <w:rPr>
                <w:rFonts w:hint="eastAsia"/>
                <w:lang w:val="en-US" w:eastAsia="zh-CN"/>
              </w:rPr>
              <w:t>2、</w:t>
            </w:r>
            <w:r>
              <w:rPr>
                <w:rFonts w:hint="eastAsia"/>
              </w:rPr>
              <w:t>公司产品</w:t>
            </w:r>
            <w:r>
              <w:rPr>
                <w:rFonts w:hint="eastAsia"/>
                <w:lang w:eastAsia="zh-CN"/>
              </w:rPr>
              <w:t>的</w:t>
            </w:r>
            <w:r>
              <w:rPr>
                <w:rFonts w:hint="eastAsia"/>
                <w:lang w:val="en-US" w:eastAsia="zh-CN"/>
              </w:rPr>
              <w:t>市场拓展情况以及未来规划</w:t>
            </w:r>
          </w:p>
          <w:p w14:paraId="2E754548">
            <w:pPr>
              <w:spacing w:line="360" w:lineRule="auto"/>
              <w:rPr>
                <w:rFonts w:hint="eastAsia"/>
              </w:rPr>
            </w:pPr>
            <w:r>
              <w:rPr>
                <w:rFonts w:hint="eastAsia"/>
                <w:lang w:val="en-US" w:eastAsia="zh-CN"/>
              </w:rPr>
              <w:t>A：</w:t>
            </w:r>
            <w:r>
              <w:rPr>
                <w:rFonts w:hint="eastAsia"/>
              </w:rPr>
              <w:t>公司始终聚焦主营业务，不断加大市场开拓力度，成效显著：四川格林达出产的显影液产品在西南体系客户中已实现导入和全厂量供，并导入西南地区新建的国内首条高世代AMOLED产线，同时继续推进其他单厂的转产测试和导入量供；显影液产品完成华星集团广州华星光电技术有限公司全部测试并形成量供；公司已通过韩国LGD公司直供供应商的全面稽核，成为具备向韩系龙头客户直接供应资格的中国湿电子化学品供应商，通过渠道的进一步优化，稳固和提升了公司韩系客户的客户粘性和市场份额。</w:t>
            </w:r>
          </w:p>
          <w:p w14:paraId="6AC407D8">
            <w:pPr>
              <w:spacing w:line="360" w:lineRule="auto"/>
              <w:ind w:firstLine="440" w:firstLineChars="200"/>
              <w:rPr>
                <w:rFonts w:hint="eastAsia"/>
              </w:rPr>
            </w:pPr>
            <w:r>
              <w:rPr>
                <w:rFonts w:hint="eastAsia"/>
              </w:rPr>
              <w:t>公司在稳固TMAH显影液市场领先地位的同时，根据下游客户需求和市场发展变化，加速推进新产品市场拓展，着力构建多元产品矩阵：剥离液产品继成功导入维信诺集团云谷(固安)科技有限公司后，已经完成涉及剥离液回收液的全部测试，形成全厂规模量供，达到剥离液生产和回收循环利用的全链条闭环，实现了有效降本和循环使用模式的建立；在成功稳定量供的基础上，公司已顺利启动并完成维信诺集团合肥国显科技有限公司高世代OLED新工厂剥离液产品的导入；剥离液产品也在龙头企业惠科集团惠科股份有限公司创新半导体显示分公司完成全部测试和导入，形成全厂量供。</w:t>
            </w:r>
          </w:p>
          <w:p w14:paraId="27E0DF4B">
            <w:pPr>
              <w:spacing w:line="360" w:lineRule="auto"/>
              <w:ind w:firstLine="440" w:firstLineChars="200"/>
            </w:pPr>
            <w:r>
              <w:rPr>
                <w:rFonts w:hint="eastAsia"/>
                <w:lang w:val="en-US"/>
              </w:rPr>
              <w:t>同时，</w:t>
            </w:r>
            <w:r>
              <w:rPr>
                <w:rFonts w:hint="eastAsia"/>
              </w:rPr>
              <w:t>公司充分利用现有市场地位、技术优势和产业经验，不断深化泛半导体市场布局与拓展: 公司在半导体大硅片及功率器件行业方面，目前已完成立昂微集团海宁新工厂、芜湖长信等国内泛半导体龙头企业的量供导入，同时对台湾地区的泛半导体客户形成稳定量供，半导体用显影液和稀释液已在半导体功率器件企业形成稳定量供，并持续开拓国内外下游泛半导体客户市场。</w:t>
            </w:r>
          </w:p>
          <w:p w14:paraId="079E6A86">
            <w:pPr>
              <w:spacing w:line="360" w:lineRule="auto"/>
              <w:ind w:firstLine="440" w:firstLineChars="200"/>
              <w:rPr>
                <w:rFonts w:hint="eastAsia"/>
              </w:rPr>
            </w:pPr>
            <w:r>
              <w:rPr>
                <w:rFonts w:hint="eastAsia"/>
                <w:lang w:val="en-US" w:eastAsia="zh-CN"/>
              </w:rPr>
              <w:t>公司</w:t>
            </w:r>
            <w:r>
              <w:rPr>
                <w:rFonts w:hint="eastAsia"/>
              </w:rPr>
              <w:t>坚持"从制造到智造、从生产供应到全周期综合服务"的发展战略，持续加大研发投入，优化产品结构，深化半导体领域布局，不断提升核心竞争力，致力于成为电子材料领域国际领先的系统服务提供商。</w:t>
            </w:r>
          </w:p>
          <w:p w14:paraId="79B0D79F">
            <w:pPr>
              <w:spacing w:line="360" w:lineRule="auto"/>
            </w:pPr>
          </w:p>
          <w:p w14:paraId="44E1F964">
            <w:pPr>
              <w:spacing w:line="360" w:lineRule="auto"/>
            </w:pPr>
          </w:p>
          <w:p w14:paraId="2C2946E6">
            <w:pPr>
              <w:spacing w:line="360" w:lineRule="auto"/>
            </w:pPr>
            <w:r>
              <w:rPr>
                <w:rFonts w:hint="eastAsia"/>
                <w:lang w:val="en-US" w:eastAsia="zh-CN"/>
              </w:rPr>
              <w:t>3</w:t>
            </w:r>
            <w:r>
              <w:rPr>
                <w:rFonts w:hint="eastAsia"/>
              </w:rPr>
              <w:t>、公司的产品</w:t>
            </w:r>
            <w:r>
              <w:rPr>
                <w:rFonts w:hint="eastAsia"/>
                <w:lang w:val="en-US" w:eastAsia="zh-CN"/>
              </w:rPr>
              <w:t>在半导体客户的测试进展</w:t>
            </w:r>
          </w:p>
          <w:p w14:paraId="40063DD0">
            <w:pPr>
              <w:spacing w:line="360" w:lineRule="auto"/>
              <w:rPr>
                <w:rFonts w:hint="eastAsia"/>
              </w:rPr>
            </w:pPr>
            <w:r>
              <w:t>A：</w:t>
            </w:r>
            <w:r>
              <w:rPr>
                <w:rFonts w:hint="eastAsia"/>
                <w:lang w:val="en-US" w:eastAsia="zh-CN"/>
              </w:rPr>
              <w:t>公司作为国内湿电子化学品主要生产厂商之一，凭借先发优势，积累了非常丰富的行业经验，具备从原料提纯、杂质控制、工艺优化到包装运输的技术优势和产业经验。随着集成电路制造工艺变得越来越复杂，对湿法工艺的技术要求不断提高，新结构、新器件和新材料的不断引入，主流芯片制造企业间的差异性也越来越大，对于功能性化学品来说，满足客户的定制化需求是未来发展的重要趋势。公司始终紧跟行业发展，不断提升、改进生产工艺，优秀可靠的技术团队具备领先的产品设计开发能力，能够根据客户的工艺需求，开展针对性产品开发与优化，以适配不同客户的产线要求，提供定制化解决方案。目前，</w:t>
            </w:r>
            <w:r>
              <w:rPr>
                <w:rFonts w:hint="eastAsia"/>
              </w:rPr>
              <w:t>公司</w:t>
            </w:r>
            <w:r>
              <w:rPr>
                <w:rFonts w:hint="eastAsia"/>
                <w:lang w:val="en-US" w:eastAsia="zh-CN"/>
              </w:rPr>
              <w:t>积极</w:t>
            </w:r>
            <w:r>
              <w:rPr>
                <w:rFonts w:hint="eastAsia"/>
              </w:rPr>
              <w:t>把握市场机遇</w:t>
            </w:r>
            <w:r>
              <w:rPr>
                <w:rFonts w:hint="eastAsia"/>
                <w:lang w:val="en-US" w:eastAsia="zh-CN"/>
              </w:rPr>
              <w:t>和测试导入机会</w:t>
            </w:r>
            <w:r>
              <w:rPr>
                <w:rFonts w:hint="eastAsia"/>
              </w:rPr>
              <w:t>，推动产品在半导体集成电路企业及其他领域的产线验证工作，未来也将持续深化与产业链上下游的协同合作，致力于实现中高端集成电路产线的产业化规模应用，增强产业链自主可控性。</w:t>
            </w:r>
          </w:p>
          <w:p w14:paraId="2284D7B9">
            <w:pPr>
              <w:spacing w:line="360" w:lineRule="auto"/>
              <w:rPr>
                <w:rFonts w:hint="eastAsia"/>
              </w:rPr>
            </w:pPr>
          </w:p>
          <w:p w14:paraId="11A73983">
            <w:pPr>
              <w:spacing w:line="360" w:lineRule="auto"/>
              <w:rPr>
                <w:rFonts w:hint="default" w:eastAsia="仿宋"/>
                <w:lang w:val="en-US" w:eastAsia="zh-CN"/>
              </w:rPr>
            </w:pPr>
            <w:r>
              <w:rPr>
                <w:rFonts w:hint="eastAsia"/>
                <w:lang w:val="en-US" w:eastAsia="zh-CN"/>
              </w:rPr>
              <w:t>4、下游行业前景和对公司的影响</w:t>
            </w:r>
          </w:p>
          <w:p w14:paraId="39B750A3">
            <w:pPr>
              <w:spacing w:line="360" w:lineRule="auto"/>
              <w:rPr>
                <w:rFonts w:hint="default"/>
                <w:lang w:val="en-US"/>
              </w:rPr>
            </w:pPr>
            <w:r>
              <w:rPr>
                <w:rFonts w:hint="eastAsia"/>
                <w:lang w:val="en-US" w:eastAsia="zh-CN"/>
              </w:rPr>
              <w:t>A：1、湿电子化学品是显示面板、半导体、太阳能电池等制作过程中不可缺少的关键性材料。为促使行业稳定发展，增强我国企业在行业中的话语权，国家不断加大对湿电子化学品及其下游消费电子产业的政策扶持力度。2、中国数字经济的发展引领新型显示产业和集成电路产业规模持续扩大，并呈现高质量发展的态势，对相关产业链的专用材料和设备企业而言将是巨大的市场机遇。在下游市场的带动下，公司所处的电子材料领域呈现较好的发展前景，以湿电子化学品为核心的系列产品也将迎来进一步市场机遇。3、随着下游领域快速发展、国家加大支持力度以及各大内资企业进一步加大投入，我国高端湿电子化学品配套能力有望快速提升，替代进口的趋势也会更加明显。近年来，随着显示面板、半导体、太阳能电池等领域的发展，湿电子化学品用量将进一步扩大，显示出极为广阔的发展前景。公司作为国内湿电子化学品主要生产厂商之一，凭借先发优势，目前已积累了非常丰富的行业经验，建立了较为完善的采购和生产体系，具备领先的产品设计开发能力，拥有稳定的客户群体并将不断扩大。</w:t>
            </w:r>
          </w:p>
          <w:p w14:paraId="788D69B2">
            <w:pPr>
              <w:spacing w:line="360" w:lineRule="auto"/>
              <w:rPr>
                <w:rFonts w:hint="eastAsia"/>
              </w:rPr>
            </w:pPr>
          </w:p>
          <w:p w14:paraId="5D26BCDE">
            <w:pPr>
              <w:spacing w:line="360" w:lineRule="auto"/>
            </w:pPr>
          </w:p>
          <w:p w14:paraId="24C68EEF">
            <w:pPr>
              <w:spacing w:line="360" w:lineRule="auto"/>
            </w:pPr>
          </w:p>
          <w:p w14:paraId="0AFA5B2E">
            <w:pPr>
              <w:spacing w:line="360" w:lineRule="auto"/>
            </w:pPr>
          </w:p>
        </w:tc>
      </w:tr>
      <w:tr w14:paraId="64D84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3" w:hRule="atLeast"/>
        </w:trPr>
        <w:tc>
          <w:tcPr>
            <w:tcW w:w="2377" w:type="dxa"/>
          </w:tcPr>
          <w:p w14:paraId="55F322A2">
            <w:pPr>
              <w:pStyle w:val="9"/>
              <w:spacing w:before="64" w:line="340" w:lineRule="auto"/>
              <w:ind w:right="97"/>
              <w:jc w:val="both"/>
              <w:rPr>
                <w:sz w:val="24"/>
              </w:rPr>
            </w:pPr>
            <w:r>
              <w:rPr>
                <w:sz w:val="24"/>
              </w:rPr>
              <w:t>活动过程中所使用的演示文稿、提供的文档等附件（如有，可</w:t>
            </w:r>
          </w:p>
          <w:p w14:paraId="6B84863A">
            <w:pPr>
              <w:pStyle w:val="9"/>
              <w:spacing w:line="303" w:lineRule="exact"/>
              <w:rPr>
                <w:sz w:val="24"/>
              </w:rPr>
            </w:pPr>
            <w:r>
              <w:rPr>
                <w:sz w:val="24"/>
              </w:rPr>
              <w:t>作为附件）</w:t>
            </w:r>
          </w:p>
        </w:tc>
        <w:tc>
          <w:tcPr>
            <w:tcW w:w="6148" w:type="dxa"/>
          </w:tcPr>
          <w:p w14:paraId="561E560E">
            <w:pPr>
              <w:pStyle w:val="9"/>
              <w:ind w:left="0"/>
              <w:rPr>
                <w:rFonts w:ascii="Times New Roman"/>
                <w:sz w:val="26"/>
              </w:rPr>
            </w:pPr>
            <w:r>
              <w:rPr>
                <w:rFonts w:hint="eastAsia" w:ascii="Times New Roman"/>
                <w:sz w:val="26"/>
              </w:rPr>
              <w:t>无</w:t>
            </w:r>
          </w:p>
        </w:tc>
      </w:tr>
    </w:tbl>
    <w:p w14:paraId="4DCD8C9A">
      <w:pPr>
        <w:rPr>
          <w:rFonts w:ascii="宋体" w:hAnsi="宋体"/>
          <w:sz w:val="28"/>
        </w:rPr>
      </w:pPr>
    </w:p>
    <w:sectPr>
      <w:type w:val="continuous"/>
      <w:pgSz w:w="11910" w:h="16840"/>
      <w:pgMar w:top="1520" w:right="1580" w:bottom="280" w:left="9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0B"/>
    <w:rsid w:val="000107D8"/>
    <w:rsid w:val="00017528"/>
    <w:rsid w:val="0006379E"/>
    <w:rsid w:val="0007053C"/>
    <w:rsid w:val="00071C6E"/>
    <w:rsid w:val="00097177"/>
    <w:rsid w:val="000D2AB6"/>
    <w:rsid w:val="001108FE"/>
    <w:rsid w:val="001305E4"/>
    <w:rsid w:val="00162871"/>
    <w:rsid w:val="00171360"/>
    <w:rsid w:val="0017157A"/>
    <w:rsid w:val="001E10B2"/>
    <w:rsid w:val="0020694B"/>
    <w:rsid w:val="00215255"/>
    <w:rsid w:val="0024697F"/>
    <w:rsid w:val="00263F0C"/>
    <w:rsid w:val="002C6274"/>
    <w:rsid w:val="002C7B42"/>
    <w:rsid w:val="002E55A5"/>
    <w:rsid w:val="00327BF0"/>
    <w:rsid w:val="003C207C"/>
    <w:rsid w:val="003C6CFD"/>
    <w:rsid w:val="004B1FD7"/>
    <w:rsid w:val="004B3293"/>
    <w:rsid w:val="004D7AF6"/>
    <w:rsid w:val="004F68F0"/>
    <w:rsid w:val="005156BA"/>
    <w:rsid w:val="00520021"/>
    <w:rsid w:val="00551301"/>
    <w:rsid w:val="00552269"/>
    <w:rsid w:val="00552E3E"/>
    <w:rsid w:val="00577250"/>
    <w:rsid w:val="00580104"/>
    <w:rsid w:val="005D738A"/>
    <w:rsid w:val="00610110"/>
    <w:rsid w:val="00637B62"/>
    <w:rsid w:val="006A3353"/>
    <w:rsid w:val="00711F8E"/>
    <w:rsid w:val="0071356F"/>
    <w:rsid w:val="007A6320"/>
    <w:rsid w:val="007B6582"/>
    <w:rsid w:val="007E1942"/>
    <w:rsid w:val="007E3B0D"/>
    <w:rsid w:val="0081611E"/>
    <w:rsid w:val="008918A7"/>
    <w:rsid w:val="008A4F6A"/>
    <w:rsid w:val="008E614D"/>
    <w:rsid w:val="008E69FB"/>
    <w:rsid w:val="00934209"/>
    <w:rsid w:val="00946532"/>
    <w:rsid w:val="00965090"/>
    <w:rsid w:val="009A5806"/>
    <w:rsid w:val="009B56F7"/>
    <w:rsid w:val="009F0355"/>
    <w:rsid w:val="00A07BD1"/>
    <w:rsid w:val="00A16B93"/>
    <w:rsid w:val="00A53C54"/>
    <w:rsid w:val="00A645EC"/>
    <w:rsid w:val="00A83E0B"/>
    <w:rsid w:val="00A83F33"/>
    <w:rsid w:val="00A92E65"/>
    <w:rsid w:val="00AB70D9"/>
    <w:rsid w:val="00AD52E4"/>
    <w:rsid w:val="00AD77D3"/>
    <w:rsid w:val="00B10134"/>
    <w:rsid w:val="00B41B05"/>
    <w:rsid w:val="00BC4BE7"/>
    <w:rsid w:val="00C5219B"/>
    <w:rsid w:val="00C6276F"/>
    <w:rsid w:val="00CB3578"/>
    <w:rsid w:val="00CC496A"/>
    <w:rsid w:val="00CE4412"/>
    <w:rsid w:val="00CF1336"/>
    <w:rsid w:val="00D440A6"/>
    <w:rsid w:val="00D66389"/>
    <w:rsid w:val="00DB46FA"/>
    <w:rsid w:val="00DB538E"/>
    <w:rsid w:val="00E21290"/>
    <w:rsid w:val="00E231E8"/>
    <w:rsid w:val="00E36611"/>
    <w:rsid w:val="00E50F80"/>
    <w:rsid w:val="00EB30A3"/>
    <w:rsid w:val="00EC5731"/>
    <w:rsid w:val="00EF4B98"/>
    <w:rsid w:val="00F077A1"/>
    <w:rsid w:val="00F3379D"/>
    <w:rsid w:val="00F36EB7"/>
    <w:rsid w:val="00F67894"/>
    <w:rsid w:val="00F971FE"/>
    <w:rsid w:val="00FD431E"/>
    <w:rsid w:val="0314091A"/>
    <w:rsid w:val="1CD7160B"/>
    <w:rsid w:val="1ED23A13"/>
    <w:rsid w:val="2E32172D"/>
    <w:rsid w:val="46E836BE"/>
    <w:rsid w:val="4F415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rPr>
  </w:style>
  <w:style w:type="paragraph" w:styleId="3">
    <w:name w:val="footer"/>
    <w:basedOn w:val="1"/>
    <w:link w:val="11"/>
    <w:qFormat/>
    <w:uiPriority w:val="0"/>
    <w:pPr>
      <w:tabs>
        <w:tab w:val="center" w:pos="4153"/>
        <w:tab w:val="right" w:pos="8306"/>
      </w:tabs>
      <w:snapToGrid w:val="0"/>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07"/>
    </w:pPr>
  </w:style>
  <w:style w:type="character" w:customStyle="1" w:styleId="10">
    <w:name w:val="页眉 字符"/>
    <w:basedOn w:val="6"/>
    <w:link w:val="4"/>
    <w:qFormat/>
    <w:uiPriority w:val="0"/>
    <w:rPr>
      <w:rFonts w:ascii="仿宋" w:hAnsi="仿宋" w:eastAsia="仿宋" w:cs="仿宋"/>
      <w:sz w:val="18"/>
      <w:szCs w:val="18"/>
      <w:lang w:val="zh-CN" w:bidi="zh-CN"/>
    </w:rPr>
  </w:style>
  <w:style w:type="character" w:customStyle="1" w:styleId="11">
    <w:name w:val="页脚 字符"/>
    <w:basedOn w:val="6"/>
    <w:link w:val="3"/>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1961</Words>
  <Characters>1993</Characters>
  <Lines>13</Lines>
  <Paragraphs>3</Paragraphs>
  <TotalTime>0</TotalTime>
  <ScaleCrop>false</ScaleCrop>
  <LinksUpToDate>false</LinksUpToDate>
  <CharactersWithSpaces>2041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2024-10-30T05:21:00Z</dcterms:created>
  <dc:creator>杨展</dc:creator>
  <cp:lastModifiedBy>杭州格林达</cp:lastModifiedBy>
  <dcterms:modified xsi:type="dcterms:W3CDTF">2026-05-26T09:00:46Z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2052-12.1.0.26375</vt:lpwstr>
  </property>
  <property fmtid="{D5CDD505-2E9C-101B-9397-08002B2CF9AE}" pid="6" name="KSOTemplateDocerSaveRecord">
    <vt:lpwstr>eyJoZGlkIjoiYjM1MzI5ZjdhYjMwMjg0OGUxNWUzZTQ2ZjVlODNmMGMiLCJ1c2VySWQiOiI1MjM0NDMzMTIifQ==</vt:lpwstr>
  </property>
  <property fmtid="{D5CDD505-2E9C-101B-9397-08002B2CF9AE}" pid="7" name="ICV">
    <vt:lpwstr>9799D031BD1F453EA42A3D153856FC12_13</vt:lpwstr>
  </property>
</Properties>
</file>