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F085">
      <w:pPr>
        <w:spacing w:after="0" w:line="200" w:lineRule="exact"/>
        <w:rPr>
          <w:sz w:val="20"/>
          <w:szCs w:val="20"/>
          <w:lang w:eastAsia="zh-CN"/>
        </w:rPr>
      </w:pPr>
    </w:p>
    <w:p w14:paraId="08F484EF">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14:paraId="34064D2C">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14:paraId="621DDBE7">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6</w:t>
      </w:r>
      <w:r>
        <w:rPr>
          <w:rFonts w:hint="eastAsia" w:ascii="黑体" w:hAnsi="黑体" w:eastAsia="黑体"/>
          <w:b/>
          <w:sz w:val="36"/>
          <w:szCs w:val="32"/>
          <w:lang w:eastAsia="zh-CN"/>
        </w:rPr>
        <w:t>年</w:t>
      </w:r>
      <w:r>
        <w:rPr>
          <w:rFonts w:hint="eastAsia" w:ascii="黑体" w:hAnsi="黑体" w:eastAsia="黑体"/>
          <w:b/>
          <w:sz w:val="36"/>
          <w:szCs w:val="32"/>
          <w:lang w:val="en-US" w:eastAsia="zh-CN"/>
        </w:rPr>
        <w:t>4</w:t>
      </w:r>
      <w:r>
        <w:rPr>
          <w:rFonts w:hint="eastAsia" w:ascii="黑体" w:hAnsi="黑体" w:eastAsia="黑体"/>
          <w:b/>
          <w:sz w:val="36"/>
          <w:szCs w:val="32"/>
          <w:lang w:eastAsia="zh-CN"/>
        </w:rPr>
        <w:t>月投资者关系活动记录</w:t>
      </w:r>
    </w:p>
    <w:p w14:paraId="3AB8EE45">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9</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次，通过接待现场调研、</w:t>
      </w:r>
      <w:r>
        <w:rPr>
          <w:rFonts w:hint="eastAsia" w:ascii="宋体" w:eastAsia="宋体" w:cs="宋体"/>
          <w:color w:val="000000"/>
          <w:sz w:val="24"/>
          <w:szCs w:val="24"/>
          <w:lang w:val="en-US" w:eastAsia="zh-CN"/>
        </w:rPr>
        <w:t>线上会议、参加券商策略会等</w:t>
      </w:r>
      <w:r>
        <w:rPr>
          <w:rFonts w:hint="eastAsia" w:ascii="宋体" w:eastAsia="宋体" w:cs="宋体"/>
          <w:color w:val="000000"/>
          <w:sz w:val="24"/>
          <w:szCs w:val="24"/>
          <w:lang w:eastAsia="zh-CN"/>
        </w:rPr>
        <w:t>方式进行投资者关系活动</w:t>
      </w:r>
      <w:r>
        <w:rPr>
          <w:rFonts w:hint="eastAsia" w:ascii="宋体" w:eastAsia="宋体" w:cs="宋体"/>
          <w:color w:val="000000"/>
          <w:sz w:val="24"/>
          <w:szCs w:val="24"/>
          <w:lang w:val="en-US" w:eastAsia="zh-CN"/>
        </w:rPr>
        <w:t>3</w:t>
      </w:r>
      <w:r>
        <w:rPr>
          <w:rFonts w:hint="eastAsia" w:ascii="宋体" w:eastAsia="宋体" w:cs="宋体"/>
          <w:color w:val="000000"/>
          <w:sz w:val="24"/>
          <w:szCs w:val="24"/>
          <w:lang w:eastAsia="zh-CN"/>
        </w:rPr>
        <w:t>次，与</w:t>
      </w:r>
      <w:r>
        <w:rPr>
          <w:rFonts w:hint="eastAsia" w:ascii="宋体" w:hAnsi="宋体" w:eastAsia="宋体" w:cs="Times New Roman"/>
          <w:kern w:val="0"/>
          <w:sz w:val="24"/>
          <w:szCs w:val="24"/>
        </w:rPr>
        <w:t>财通证券</w:t>
      </w:r>
      <w:r>
        <w:rPr>
          <w:rFonts w:hint="eastAsia" w:ascii="宋体" w:eastAsia="宋体" w:cs="宋体"/>
          <w:color w:val="000000"/>
          <w:sz w:val="24"/>
          <w:szCs w:val="24"/>
          <w:lang w:eastAsia="zh-CN"/>
        </w:rPr>
        <w:t>、</w:t>
      </w:r>
      <w:r>
        <w:rPr>
          <w:rFonts w:hint="eastAsia" w:ascii="宋体" w:hAnsi="宋体" w:eastAsia="宋体" w:cs="Times New Roman"/>
          <w:kern w:val="0"/>
          <w:sz w:val="24"/>
          <w:szCs w:val="24"/>
        </w:rPr>
        <w:t>泉果基金、</w:t>
      </w:r>
      <w:r>
        <w:rPr>
          <w:rFonts w:hint="eastAsia" w:ascii="宋体" w:eastAsia="宋体" w:cs="宋体"/>
          <w:color w:val="000000"/>
          <w:sz w:val="24"/>
          <w:szCs w:val="24"/>
          <w:lang w:val="en-US" w:eastAsia="zh-CN"/>
        </w:rPr>
        <w:t>东吴人寿</w:t>
      </w:r>
      <w:r>
        <w:rPr>
          <w:rFonts w:hint="eastAsia" w:ascii="宋体" w:eastAsia="宋体" w:cs="宋体"/>
          <w:color w:val="000000"/>
          <w:sz w:val="24"/>
          <w:szCs w:val="24"/>
          <w:lang w:eastAsia="zh-CN"/>
        </w:rPr>
        <w:t>、</w:t>
      </w:r>
      <w:r>
        <w:rPr>
          <w:rFonts w:hint="eastAsia" w:ascii="宋体" w:hAnsi="宋体" w:eastAsia="宋体" w:cs="Times New Roman"/>
          <w:kern w:val="0"/>
          <w:sz w:val="24"/>
          <w:szCs w:val="24"/>
        </w:rPr>
        <w:t>东方红资产管理</w:t>
      </w:r>
      <w:r>
        <w:rPr>
          <w:rFonts w:hint="eastAsia" w:ascii="宋体" w:eastAsia="宋体" w:cs="宋体"/>
          <w:color w:val="000000"/>
          <w:sz w:val="24"/>
          <w:szCs w:val="24"/>
          <w:lang w:eastAsia="zh-CN"/>
        </w:rPr>
        <w:t>等进行交流。公司在遵守信息披露相关规定的前提下进行交流，交流内容不涉及未披露的重大信息。202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14:paraId="32B2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14:paraId="40A6F20F">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b/>
                <w:color w:val="000000"/>
                <w:sz w:val="24"/>
                <w:szCs w:val="24"/>
              </w:rPr>
            </w:pPr>
            <w:r>
              <w:rPr>
                <w:rFonts w:hint="default" w:ascii="宋体" w:eastAsia="宋体" w:cs="宋体"/>
                <w:b/>
                <w:color w:val="000000"/>
                <w:sz w:val="24"/>
                <w:szCs w:val="24"/>
              </w:rPr>
              <w:t>投资者关系活动类别</w:t>
            </w:r>
          </w:p>
        </w:tc>
        <w:tc>
          <w:tcPr>
            <w:tcW w:w="7622" w:type="dxa"/>
            <w:vAlign w:val="center"/>
          </w:tcPr>
          <w:p w14:paraId="0DC6F4C3">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14:paraId="296E6AB7">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14:paraId="073B5001">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14:paraId="2494A8B2">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14:paraId="4401D2C8">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14:paraId="6D5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14:paraId="2B268057">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b/>
                <w:color w:val="000000"/>
                <w:sz w:val="24"/>
                <w:szCs w:val="24"/>
                <w:lang w:eastAsia="zh-CN"/>
              </w:rPr>
              <w:t>时间</w:t>
            </w:r>
          </w:p>
        </w:tc>
        <w:tc>
          <w:tcPr>
            <w:tcW w:w="7622" w:type="dxa"/>
            <w:vAlign w:val="center"/>
          </w:tcPr>
          <w:p w14:paraId="1BBDE2FE">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val="en-US" w:eastAsia="zh-CN"/>
              </w:rPr>
            </w:pP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27</w:t>
            </w:r>
            <w:r>
              <w:rPr>
                <w:rFonts w:hint="eastAsia" w:ascii="宋体" w:hAnsi="宋体" w:eastAsia="宋体" w:cs="Times New Roman"/>
                <w:kern w:val="0"/>
                <w:sz w:val="24"/>
                <w:szCs w:val="24"/>
              </w:rPr>
              <w:t>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28</w:t>
            </w:r>
            <w:r>
              <w:rPr>
                <w:rFonts w:hint="eastAsia" w:ascii="宋体" w:hAnsi="宋体" w:eastAsia="宋体" w:cs="Times New Roman"/>
                <w:kern w:val="0"/>
                <w:sz w:val="24"/>
                <w:szCs w:val="24"/>
              </w:rPr>
              <w:t>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月2</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日</w:t>
            </w:r>
            <w:r>
              <w:rPr>
                <w:rFonts w:hint="eastAsia" w:ascii="宋体" w:hAnsi="宋体" w:eastAsia="宋体" w:cs="Times New Roman"/>
                <w:kern w:val="0"/>
                <w:sz w:val="24"/>
                <w:szCs w:val="24"/>
                <w:lang w:val="en-US" w:eastAsia="zh-CN"/>
              </w:rPr>
              <w:t xml:space="preserve">  </w:t>
            </w:r>
          </w:p>
        </w:tc>
      </w:tr>
      <w:tr w14:paraId="03D6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14:paraId="756342E4">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上市公司接待人员</w:t>
            </w:r>
          </w:p>
        </w:tc>
        <w:tc>
          <w:tcPr>
            <w:tcW w:w="7622" w:type="dxa"/>
            <w:vAlign w:val="center"/>
          </w:tcPr>
          <w:p w14:paraId="595C9354">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eastAsia="宋体" w:cs="宋体"/>
                <w:color w:val="000000"/>
                <w:sz w:val="24"/>
                <w:szCs w:val="24"/>
                <w:highlight w:val="none"/>
                <w:lang w:eastAsia="zh-CN"/>
              </w:rPr>
              <w:t>董事会秘书</w:t>
            </w:r>
            <w:r>
              <w:rPr>
                <w:rFonts w:hint="eastAsia" w:ascii="宋体" w:eastAsia="宋体" w:cs="宋体"/>
                <w:color w:val="000000"/>
                <w:sz w:val="24"/>
                <w:szCs w:val="24"/>
                <w:highlight w:val="none"/>
                <w:lang w:val="en-US" w:eastAsia="zh-CN"/>
              </w:rPr>
              <w:t>张颖</w:t>
            </w:r>
            <w:r>
              <w:rPr>
                <w:rFonts w:hint="eastAsia" w:ascii="宋体" w:eastAsia="宋体" w:cs="宋体"/>
                <w:color w:val="000000"/>
                <w:sz w:val="24"/>
                <w:szCs w:val="24"/>
                <w:lang w:eastAsia="zh-CN"/>
              </w:rPr>
              <w:t>等上市公司接待人员</w:t>
            </w:r>
          </w:p>
        </w:tc>
      </w:tr>
      <w:tr w14:paraId="087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14:paraId="2F3C94B1">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p>
          <w:p w14:paraId="6B150A4A">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投资者关系活动主要内容介绍</w:t>
            </w:r>
          </w:p>
        </w:tc>
        <w:tc>
          <w:tcPr>
            <w:tcW w:w="7622" w:type="dxa"/>
          </w:tcPr>
          <w:p w14:paraId="30092BBB">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问：请问公司2</w:t>
            </w:r>
            <w:r>
              <w:rPr>
                <w:rFonts w:hint="default" w:ascii="宋体" w:hAnsi="宋体" w:eastAsia="宋体" w:cs="Times New Roman"/>
                <w:b/>
                <w:kern w:val="0"/>
                <w:sz w:val="24"/>
                <w:szCs w:val="24"/>
              </w:rPr>
              <w:t>026</w:t>
            </w:r>
            <w:r>
              <w:rPr>
                <w:rFonts w:hint="eastAsia" w:ascii="宋体" w:hAnsi="宋体" w:eastAsia="宋体" w:cs="Times New Roman"/>
                <w:b/>
                <w:kern w:val="0"/>
                <w:sz w:val="24"/>
                <w:szCs w:val="24"/>
              </w:rPr>
              <w:t>年一季度经营业绩表现情况？</w:t>
            </w:r>
          </w:p>
          <w:p w14:paraId="6D329B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w:t>
            </w:r>
            <w:r>
              <w:rPr>
                <w:rFonts w:hint="default" w:ascii="宋体" w:hAnsi="宋体" w:eastAsia="宋体" w:cs="Times New Roman"/>
                <w:bCs/>
                <w:kern w:val="0"/>
                <w:sz w:val="24"/>
                <w:szCs w:val="24"/>
              </w:rPr>
              <w:t>026</w:t>
            </w:r>
            <w:r>
              <w:rPr>
                <w:rFonts w:hint="eastAsia" w:ascii="宋体" w:hAnsi="宋体" w:eastAsia="宋体" w:cs="Times New Roman"/>
                <w:bCs/>
                <w:kern w:val="0"/>
                <w:sz w:val="24"/>
                <w:szCs w:val="24"/>
              </w:rPr>
              <w:t>年1</w:t>
            </w:r>
            <w:bookmarkStart w:id="0" w:name="_GoBack"/>
            <w:r>
              <w:rPr>
                <w:rFonts w:hint="default" w:ascii="宋体" w:hAnsi="宋体" w:eastAsia="宋体" w:cs="Times New Roman"/>
                <w:bCs/>
                <w:kern w:val="0"/>
                <w:sz w:val="24"/>
                <w:szCs w:val="24"/>
              </w:rPr>
              <w:t>-</w:t>
            </w:r>
            <w:bookmarkEnd w:id="0"/>
            <w:r>
              <w:rPr>
                <w:rFonts w:hint="default" w:ascii="宋体" w:hAnsi="宋体" w:eastAsia="宋体" w:cs="Times New Roman"/>
                <w:bCs/>
                <w:kern w:val="0"/>
                <w:sz w:val="24"/>
                <w:szCs w:val="24"/>
              </w:rPr>
              <w:t>3</w:t>
            </w:r>
            <w:r>
              <w:rPr>
                <w:rFonts w:hint="eastAsia" w:ascii="宋体" w:hAnsi="宋体" w:eastAsia="宋体" w:cs="Times New Roman"/>
                <w:bCs/>
                <w:kern w:val="0"/>
                <w:sz w:val="24"/>
                <w:szCs w:val="24"/>
              </w:rPr>
              <w:t>月，公司实现营业收入5</w:t>
            </w:r>
            <w:r>
              <w:rPr>
                <w:rFonts w:hint="default" w:ascii="宋体" w:hAnsi="宋体" w:eastAsia="宋体" w:cs="Times New Roman"/>
                <w:bCs/>
                <w:kern w:val="0"/>
                <w:sz w:val="24"/>
                <w:szCs w:val="24"/>
              </w:rPr>
              <w:t>.08</w:t>
            </w:r>
            <w:r>
              <w:rPr>
                <w:rFonts w:hint="eastAsia" w:ascii="宋体" w:hAnsi="宋体" w:eastAsia="宋体" w:cs="Times New Roman"/>
                <w:bCs/>
                <w:kern w:val="0"/>
                <w:sz w:val="24"/>
                <w:szCs w:val="24"/>
              </w:rPr>
              <w:t>亿元，同比下降1</w:t>
            </w:r>
            <w:r>
              <w:rPr>
                <w:rFonts w:hint="default" w:ascii="宋体" w:hAnsi="宋体" w:eastAsia="宋体" w:cs="Times New Roman"/>
                <w:bCs/>
                <w:kern w:val="0"/>
                <w:sz w:val="24"/>
                <w:szCs w:val="24"/>
              </w:rPr>
              <w:t>1.59%</w:t>
            </w:r>
            <w:r>
              <w:rPr>
                <w:rFonts w:hint="eastAsia" w:ascii="宋体" w:hAnsi="宋体" w:eastAsia="宋体" w:cs="Times New Roman"/>
                <w:bCs/>
                <w:kern w:val="0"/>
                <w:sz w:val="24"/>
                <w:szCs w:val="24"/>
              </w:rPr>
              <w:t>，归属于上市公司股东的净利润1</w:t>
            </w:r>
            <w:r>
              <w:rPr>
                <w:rFonts w:hint="default" w:ascii="宋体" w:hAnsi="宋体" w:eastAsia="宋体" w:cs="Times New Roman"/>
                <w:bCs/>
                <w:kern w:val="0"/>
                <w:sz w:val="24"/>
                <w:szCs w:val="24"/>
              </w:rPr>
              <w:t>.09</w:t>
            </w:r>
            <w:r>
              <w:rPr>
                <w:rFonts w:hint="eastAsia" w:ascii="宋体" w:hAnsi="宋体" w:eastAsia="宋体" w:cs="Times New Roman"/>
                <w:bCs/>
                <w:kern w:val="0"/>
                <w:sz w:val="24"/>
                <w:szCs w:val="24"/>
              </w:rPr>
              <w:t>亿元，同比下降3</w:t>
            </w:r>
            <w:r>
              <w:rPr>
                <w:rFonts w:hint="default" w:ascii="宋体" w:hAnsi="宋体" w:eastAsia="宋体" w:cs="Times New Roman"/>
                <w:bCs/>
                <w:kern w:val="0"/>
                <w:sz w:val="24"/>
                <w:szCs w:val="24"/>
              </w:rPr>
              <w:t>3.11%</w:t>
            </w:r>
            <w:r>
              <w:rPr>
                <w:rFonts w:hint="eastAsia" w:ascii="宋体" w:hAnsi="宋体" w:eastAsia="宋体" w:cs="Times New Roman"/>
                <w:bCs/>
                <w:kern w:val="0"/>
                <w:sz w:val="24"/>
                <w:szCs w:val="24"/>
              </w:rPr>
              <w:t>。下降的主要原因系2</w:t>
            </w:r>
            <w:r>
              <w:rPr>
                <w:rFonts w:hint="default" w:ascii="宋体" w:hAnsi="宋体" w:eastAsia="宋体" w:cs="Times New Roman"/>
                <w:bCs/>
                <w:kern w:val="0"/>
                <w:sz w:val="24"/>
                <w:szCs w:val="24"/>
              </w:rPr>
              <w:t>026</w:t>
            </w:r>
            <w:r>
              <w:rPr>
                <w:rFonts w:hint="eastAsia" w:ascii="宋体" w:hAnsi="宋体" w:eastAsia="宋体" w:cs="Times New Roman"/>
                <w:bCs/>
                <w:kern w:val="0"/>
                <w:sz w:val="24"/>
                <w:szCs w:val="24"/>
              </w:rPr>
              <w:t>年一季度江苏地区风况不佳，与去年同期相比，平均风速降低，风电项目发电量减少。</w:t>
            </w:r>
          </w:p>
          <w:p w14:paraId="2DC1084C">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rPr>
                <w:rFonts w:hint="default" w:ascii="宋体" w:hAnsi="宋体" w:eastAsia="宋体" w:cs="Times New Roman"/>
                <w:b/>
                <w:kern w:val="0"/>
                <w:sz w:val="24"/>
                <w:szCs w:val="24"/>
              </w:rPr>
            </w:pPr>
            <w:r>
              <w:rPr>
                <w:rFonts w:hint="eastAsia" w:ascii="宋体" w:hAnsi="宋体" w:eastAsia="宋体" w:cs="Times New Roman"/>
                <w:b/>
                <w:kern w:val="0"/>
                <w:sz w:val="24"/>
                <w:szCs w:val="24"/>
              </w:rPr>
              <w:t>问：</w:t>
            </w:r>
            <w:r>
              <w:rPr>
                <w:rFonts w:hint="eastAsia" w:ascii="宋体" w:hAnsi="宋体" w:eastAsia="宋体" w:cs="Times New Roman"/>
                <w:b/>
                <w:kern w:val="0"/>
                <w:sz w:val="24"/>
                <w:szCs w:val="24"/>
                <w:lang w:val="en-US" w:eastAsia="zh-CN"/>
              </w:rPr>
              <w:t>目前江苏省</w:t>
            </w:r>
            <w:r>
              <w:rPr>
                <w:rFonts w:hint="eastAsia" w:ascii="宋体" w:hAnsi="宋体" w:eastAsia="宋体" w:cs="Times New Roman"/>
                <w:b/>
                <w:kern w:val="0"/>
                <w:sz w:val="24"/>
                <w:szCs w:val="24"/>
              </w:rPr>
              <w:t>参与竞价并纳入增量机制电量的新能源项目有投产时间要求吗？公司青口盐场渔光一体化发电项目获得机制电价后，还能参加绿电交易吗？</w:t>
            </w:r>
          </w:p>
          <w:p w14:paraId="107B3C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按照国网江苏省电力有限公司发布的《2025-2026年江苏省新能源增量项目机制电价竞价组织公告》，要求申报主体为2025年6月1日（含）-2026年12月31日（含）投产的新能源发电项目。根据江苏省发改委印发的《江苏省深化新能源上网电价市场化改革促进新能源高质量发展实施方案》，参与竞价并纳入增量机制电量的新能源项目，应按照申报时间投产，新能源项目全容量并网时间晚于申报投产月份，但不超过</w:t>
            </w:r>
            <w:r>
              <w:rPr>
                <w:rFonts w:hint="default" w:ascii="宋体" w:hAnsi="宋体" w:eastAsia="宋体" w:cs="Times New Roman"/>
                <w:bCs/>
                <w:kern w:val="0"/>
                <w:sz w:val="24"/>
                <w:szCs w:val="24"/>
              </w:rPr>
              <w:t>6个月</w:t>
            </w:r>
            <w:r>
              <w:rPr>
                <w:rFonts w:hint="eastAsia" w:ascii="宋体" w:hAnsi="宋体" w:eastAsia="宋体" w:cs="Times New Roman"/>
                <w:bCs/>
                <w:kern w:val="0"/>
                <w:sz w:val="24"/>
                <w:szCs w:val="24"/>
                <w:lang w:val="en-US" w:eastAsia="zh-CN"/>
              </w:rPr>
              <w:t>时</w:t>
            </w:r>
            <w:r>
              <w:rPr>
                <w:rFonts w:hint="eastAsia" w:ascii="宋体" w:hAnsi="宋体" w:eastAsia="宋体" w:cs="Times New Roman"/>
                <w:bCs/>
                <w:kern w:val="0"/>
                <w:sz w:val="24"/>
                <w:szCs w:val="24"/>
              </w:rPr>
              <w:t>，省电力公司根据延期天数扣减一定违约金。公司青口盐场渔光一体化发电项目作为已纳入机制的项目，项目机制电量的比例占其上网电量的比例不高于90%，机制电量不再参与绿电交易，不重复获得绿证收益，机制电量以外的上网电量可参与绿电交易。</w:t>
            </w:r>
          </w:p>
          <w:p w14:paraId="423B56BF">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问：公司未来的重点发展领域和战略规划是什么？</w:t>
            </w:r>
          </w:p>
          <w:p w14:paraId="1E992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公司将围绕海上与陆上、省内与省外、集中式与分布式等</w:t>
            </w:r>
            <w:r>
              <w:rPr>
                <w:rFonts w:hint="eastAsia" w:ascii="宋体" w:hAnsi="宋体" w:eastAsia="宋体" w:cs="Times New Roman"/>
                <w:bCs/>
                <w:kern w:val="0"/>
                <w:sz w:val="24"/>
                <w:szCs w:val="24"/>
                <w:lang w:val="en-US" w:eastAsia="zh-CN"/>
              </w:rPr>
              <w:t>全场景项目布局</w:t>
            </w:r>
            <w:r>
              <w:rPr>
                <w:rFonts w:hint="eastAsia" w:ascii="宋体" w:hAnsi="宋体" w:eastAsia="宋体" w:cs="Times New Roman"/>
                <w:bCs/>
                <w:kern w:val="0"/>
                <w:sz w:val="24"/>
                <w:szCs w:val="24"/>
              </w:rPr>
              <w:t>，力争实现“十五五”期间新能源装机总量跨越式增长，并适时布局储能、新能源制氢</w:t>
            </w:r>
            <w:r>
              <w:rPr>
                <w:rFonts w:hint="eastAsia" w:ascii="宋体" w:hAnsi="宋体" w:eastAsia="宋体" w:cs="Times New Roman"/>
                <w:bCs/>
                <w:kern w:val="0"/>
                <w:sz w:val="24"/>
                <w:szCs w:val="24"/>
                <w:lang w:eastAsia="zh-CN"/>
              </w:rPr>
              <w:t>、</w:t>
            </w:r>
            <w:r>
              <w:rPr>
                <w:rFonts w:hint="eastAsia" w:ascii="宋体" w:hAnsi="宋体" w:eastAsia="宋体" w:cs="Times New Roman"/>
                <w:bCs/>
                <w:kern w:val="0"/>
                <w:sz w:val="24"/>
                <w:szCs w:val="24"/>
                <w:lang w:val="en-US" w:eastAsia="zh-CN"/>
              </w:rPr>
              <w:t>零碳园区</w:t>
            </w:r>
            <w:r>
              <w:rPr>
                <w:rFonts w:hint="eastAsia" w:ascii="宋体" w:hAnsi="宋体" w:eastAsia="宋体" w:cs="Times New Roman"/>
                <w:bCs/>
                <w:kern w:val="0"/>
                <w:sz w:val="24"/>
                <w:szCs w:val="24"/>
              </w:rPr>
              <w:t>及源网荷储一体化等领域，加大创新投入力度，致力于建设成为一流新能源上市公司。</w:t>
            </w:r>
          </w:p>
          <w:p w14:paraId="26FA94A4">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问：公司是否规定了最低现金分红比例？</w:t>
            </w:r>
          </w:p>
          <w:p w14:paraId="4E8006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kern w:val="0"/>
                <w:sz w:val="24"/>
                <w:szCs w:val="24"/>
              </w:rPr>
              <w:t>根据《公司章程》</w:t>
            </w:r>
            <w:r>
              <w:rPr>
                <w:rFonts w:hint="default" w:ascii="宋体" w:hAnsi="宋体" w:eastAsia="宋体" w:cs="Times New Roman"/>
                <w:kern w:val="0"/>
                <w:sz w:val="24"/>
                <w:szCs w:val="24"/>
              </w:rPr>
              <w:t>，</w:t>
            </w:r>
            <w:r>
              <w:rPr>
                <w:rFonts w:hint="eastAsia" w:ascii="宋体" w:hAnsi="宋体" w:eastAsia="宋体" w:cs="Times New Roman"/>
                <w:kern w:val="0"/>
                <w:sz w:val="24"/>
                <w:szCs w:val="24"/>
              </w:rPr>
              <w:t>公司当年实现盈利，在依法提取法定公积金、盈余公积金后，如无重大投资计划或重大现金支出，每年度现金分红金额不低于当年实现的可供分配利润（不含年初未分配利润）的</w:t>
            </w:r>
            <w:r>
              <w:rPr>
                <w:rFonts w:hint="default" w:ascii="宋体" w:hAnsi="宋体" w:eastAsia="宋体" w:cs="Times New Roman"/>
                <w:kern w:val="0"/>
                <w:sz w:val="24"/>
                <w:szCs w:val="24"/>
              </w:rPr>
              <w:t>10%，且任何三个连续年度内，以现金方式累计分配的利润不少于该三年实现的年均可分配利润的30%</w:t>
            </w:r>
            <w:r>
              <w:rPr>
                <w:rFonts w:hint="eastAsia" w:ascii="宋体" w:hAnsi="宋体" w:eastAsia="宋体" w:cs="Times New Roman"/>
                <w:kern w:val="0"/>
                <w:sz w:val="24"/>
                <w:szCs w:val="24"/>
              </w:rPr>
              <w:t>。</w:t>
            </w:r>
          </w:p>
          <w:p w14:paraId="732A34CB">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b/>
                <w:kern w:val="0"/>
                <w:sz w:val="24"/>
                <w:szCs w:val="24"/>
              </w:rPr>
            </w:pPr>
            <w:r>
              <w:rPr>
                <w:rFonts w:hint="eastAsia" w:ascii="宋体" w:hAnsi="宋体" w:eastAsia="宋体" w:cs="Times New Roman"/>
                <w:b/>
                <w:kern w:val="0"/>
                <w:sz w:val="24"/>
                <w:szCs w:val="24"/>
              </w:rPr>
              <w:t>问：江苏省近期绿电成交价格是多少？</w:t>
            </w:r>
          </w:p>
          <w:p w14:paraId="0B299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根据江苏省电力交易中心发布的《2026年江苏省内电力市场年度绿色电力交易结果公示》，本次交易电量17.81亿千瓦时，加权均价404.94元/兆瓦时，其中绿色电力环境均价21.71元/兆瓦时。其中：风电成交的加权均价412.02元/兆瓦时，绿色电力环境均价28.48元/兆瓦时；光伏成交的加权均价399.65元/兆瓦时，绿色电力环境均价16.65元/兆瓦时。</w:t>
            </w:r>
          </w:p>
          <w:p w14:paraId="1C14F7FD">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rPr>
                <w:rFonts w:hint="default" w:ascii="宋体" w:hAnsi="宋体" w:eastAsia="宋体" w:cs="Times New Roman"/>
                <w:b/>
                <w:kern w:val="0"/>
                <w:sz w:val="24"/>
                <w:szCs w:val="24"/>
              </w:rPr>
            </w:pPr>
            <w:r>
              <w:rPr>
                <w:rFonts w:hint="eastAsia" w:ascii="宋体" w:hAnsi="宋体" w:eastAsia="宋体" w:cs="Times New Roman"/>
                <w:b/>
                <w:kern w:val="0"/>
                <w:sz w:val="24"/>
                <w:szCs w:val="24"/>
              </w:rPr>
              <w:t>问：公司是否考虑发展绿电直连项目？</w:t>
            </w:r>
          </w:p>
          <w:p w14:paraId="15A62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宋体" w:hAnsi="宋体" w:eastAsia="宋体" w:cs="Times New Roman"/>
                <w:bCs/>
                <w:kern w:val="0"/>
                <w:sz w:val="24"/>
                <w:szCs w:val="24"/>
                <w:lang w:val="en-US" w:eastAsia="zh-CN"/>
              </w:rPr>
            </w:pPr>
            <w:r>
              <w:rPr>
                <w:rFonts w:hint="eastAsia" w:ascii="宋体" w:hAnsi="宋体" w:eastAsia="宋体" w:cs="Times New Roman"/>
                <w:b/>
                <w:kern w:val="0"/>
                <w:sz w:val="24"/>
                <w:szCs w:val="24"/>
              </w:rPr>
              <w:t>答：</w:t>
            </w:r>
            <w:r>
              <w:rPr>
                <w:rFonts w:hint="eastAsia" w:ascii="宋体" w:hAnsi="宋体" w:eastAsia="宋体" w:cs="Times New Roman"/>
                <w:b w:val="0"/>
                <w:kern w:val="0"/>
                <w:sz w:val="24"/>
                <w:szCs w:val="24"/>
              </w:rPr>
              <w:t>为满足新能源就近消纳需要、用户绿电消费需求、为用户降低用电成本提供更多选择，</w:t>
            </w:r>
            <w:r>
              <w:rPr>
                <w:rFonts w:hint="default" w:ascii="宋体" w:hAnsi="宋体" w:eastAsia="宋体" w:cs="Times New Roman"/>
                <w:kern w:val="0"/>
                <w:sz w:val="24"/>
                <w:szCs w:val="24"/>
              </w:rPr>
              <w:t>2025年5月，国家发展改革委、国家能源局联合印发《关于有序推动绿电直连发展有关事项的通知》</w:t>
            </w:r>
            <w:r>
              <w:rPr>
                <w:rFonts w:hint="eastAsia" w:ascii="宋体" w:hAnsi="宋体" w:eastAsia="宋体" w:cs="Times New Roman"/>
                <w:kern w:val="0"/>
                <w:sz w:val="24"/>
                <w:szCs w:val="24"/>
              </w:rPr>
              <w:t>。目前</w:t>
            </w:r>
            <w:r>
              <w:rPr>
                <w:rFonts w:hint="default" w:ascii="宋体" w:hAnsi="宋体" w:eastAsia="宋体" w:cs="Times New Roman"/>
                <w:kern w:val="0"/>
                <w:sz w:val="24"/>
                <w:szCs w:val="24"/>
              </w:rPr>
              <w:t>公司</w:t>
            </w:r>
            <w:r>
              <w:rPr>
                <w:rFonts w:hint="eastAsia" w:ascii="宋体" w:hAnsi="宋体" w:eastAsia="宋体" w:cs="Times New Roman"/>
                <w:kern w:val="0"/>
                <w:sz w:val="24"/>
                <w:szCs w:val="24"/>
              </w:rPr>
              <w:t>尚未有已落地</w:t>
            </w:r>
            <w:r>
              <w:rPr>
                <w:rFonts w:hint="default" w:ascii="宋体" w:hAnsi="宋体" w:eastAsia="宋体" w:cs="Times New Roman"/>
                <w:kern w:val="0"/>
                <w:sz w:val="24"/>
                <w:szCs w:val="24"/>
              </w:rPr>
              <w:t>绿电直连项目，</w:t>
            </w:r>
            <w:r>
              <w:rPr>
                <w:rFonts w:hint="eastAsia" w:ascii="宋体" w:hAnsi="宋体" w:eastAsia="宋体" w:cs="Times New Roman"/>
                <w:kern w:val="0"/>
                <w:sz w:val="24"/>
                <w:szCs w:val="24"/>
              </w:rPr>
              <w:t>但在积极</w:t>
            </w:r>
            <w:r>
              <w:rPr>
                <w:rFonts w:hint="eastAsia" w:ascii="宋体" w:hAnsi="宋体" w:eastAsia="宋体" w:cs="Times New Roman"/>
                <w:kern w:val="0"/>
                <w:sz w:val="24"/>
                <w:szCs w:val="24"/>
                <w:lang w:val="en-US" w:eastAsia="zh-CN"/>
              </w:rPr>
              <w:t>摸排</w:t>
            </w:r>
            <w:r>
              <w:rPr>
                <w:rFonts w:hint="eastAsia" w:ascii="宋体" w:hAnsi="宋体" w:eastAsia="宋体" w:cs="Times New Roman"/>
                <w:kern w:val="0"/>
                <w:sz w:val="24"/>
                <w:szCs w:val="24"/>
              </w:rPr>
              <w:t>对接有关项目资源。后续如有进展，公司将严格按照信息披露要求及时履行公告义务。</w:t>
            </w:r>
          </w:p>
        </w:tc>
      </w:tr>
      <w:tr w14:paraId="616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14:paraId="0C27EB30">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附件</w:t>
            </w:r>
          </w:p>
          <w:p w14:paraId="0A1DE265">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清单</w:t>
            </w:r>
          </w:p>
        </w:tc>
        <w:tc>
          <w:tcPr>
            <w:tcW w:w="7622" w:type="dxa"/>
            <w:vAlign w:val="center"/>
          </w:tcPr>
          <w:p w14:paraId="74CC4076">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color w:val="000000"/>
                <w:sz w:val="24"/>
                <w:szCs w:val="24"/>
              </w:rPr>
              <w:t>无</w:t>
            </w:r>
          </w:p>
        </w:tc>
      </w:tr>
    </w:tbl>
    <w:p w14:paraId="091856ED">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14:paraId="2AA367D5">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8D50D"/>
    <w:multiLevelType w:val="singleLevel"/>
    <w:tmpl w:val="0548D50D"/>
    <w:lvl w:ilvl="0" w:tentative="0">
      <w:start w:val="1"/>
      <w:numFmt w:val="decimal"/>
      <w:suff w:val="nothing"/>
      <w:lvlText w:val="%1、"/>
      <w:lvlJc w:val="left"/>
      <w:rPr>
        <w:rFonts w:hint="default"/>
        <w:b/>
        <w:bCs/>
      </w:rPr>
    </w:lvl>
  </w:abstractNum>
  <w:abstractNum w:abstractNumId="1">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03EE"/>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3EC0177"/>
    <w:rsid w:val="04D01847"/>
    <w:rsid w:val="06874502"/>
    <w:rsid w:val="091E2BA4"/>
    <w:rsid w:val="0926126E"/>
    <w:rsid w:val="09534007"/>
    <w:rsid w:val="09594501"/>
    <w:rsid w:val="09AA14C8"/>
    <w:rsid w:val="0A854D0D"/>
    <w:rsid w:val="0ABC02E8"/>
    <w:rsid w:val="0B310204"/>
    <w:rsid w:val="0B68541F"/>
    <w:rsid w:val="0DB937C0"/>
    <w:rsid w:val="0DF30354"/>
    <w:rsid w:val="0F3924B5"/>
    <w:rsid w:val="0F7818E1"/>
    <w:rsid w:val="13A03F24"/>
    <w:rsid w:val="13FA241B"/>
    <w:rsid w:val="141C0605"/>
    <w:rsid w:val="14765E23"/>
    <w:rsid w:val="14863CD0"/>
    <w:rsid w:val="14F7363C"/>
    <w:rsid w:val="173739A8"/>
    <w:rsid w:val="176E7346"/>
    <w:rsid w:val="17714B73"/>
    <w:rsid w:val="187B3106"/>
    <w:rsid w:val="192E77AB"/>
    <w:rsid w:val="197A6151"/>
    <w:rsid w:val="199155F1"/>
    <w:rsid w:val="1A0E324D"/>
    <w:rsid w:val="1A402B0B"/>
    <w:rsid w:val="1B2C4F18"/>
    <w:rsid w:val="1BC82032"/>
    <w:rsid w:val="1C2A3766"/>
    <w:rsid w:val="1C5715A6"/>
    <w:rsid w:val="1C9012F0"/>
    <w:rsid w:val="1C9846E4"/>
    <w:rsid w:val="1CBA7BDA"/>
    <w:rsid w:val="1D3F1C50"/>
    <w:rsid w:val="1D99384E"/>
    <w:rsid w:val="21B33606"/>
    <w:rsid w:val="21B35837"/>
    <w:rsid w:val="22161D6C"/>
    <w:rsid w:val="22BB6D4C"/>
    <w:rsid w:val="23604265"/>
    <w:rsid w:val="23CB213F"/>
    <w:rsid w:val="23EF2765"/>
    <w:rsid w:val="24174945"/>
    <w:rsid w:val="254B6CB7"/>
    <w:rsid w:val="273450F7"/>
    <w:rsid w:val="276244A0"/>
    <w:rsid w:val="283600A2"/>
    <w:rsid w:val="294A6D1A"/>
    <w:rsid w:val="29B3565E"/>
    <w:rsid w:val="2C500483"/>
    <w:rsid w:val="2D3601CB"/>
    <w:rsid w:val="2D790B9B"/>
    <w:rsid w:val="2DFE521A"/>
    <w:rsid w:val="2E1F77B1"/>
    <w:rsid w:val="304A07DA"/>
    <w:rsid w:val="30BD4540"/>
    <w:rsid w:val="31380BC3"/>
    <w:rsid w:val="325D6EB5"/>
    <w:rsid w:val="32F64CAC"/>
    <w:rsid w:val="33F516C9"/>
    <w:rsid w:val="368A3234"/>
    <w:rsid w:val="37290AF1"/>
    <w:rsid w:val="37515F68"/>
    <w:rsid w:val="380C78E5"/>
    <w:rsid w:val="38BF6A16"/>
    <w:rsid w:val="394F13FC"/>
    <w:rsid w:val="3B456DB7"/>
    <w:rsid w:val="3CA65BFE"/>
    <w:rsid w:val="40894A65"/>
    <w:rsid w:val="40F83CD9"/>
    <w:rsid w:val="41D72566"/>
    <w:rsid w:val="42A722F8"/>
    <w:rsid w:val="43467BD9"/>
    <w:rsid w:val="46873C1F"/>
    <w:rsid w:val="47484C91"/>
    <w:rsid w:val="476B3055"/>
    <w:rsid w:val="47C12B1D"/>
    <w:rsid w:val="49965827"/>
    <w:rsid w:val="4B642274"/>
    <w:rsid w:val="4CC91548"/>
    <w:rsid w:val="4D6635B4"/>
    <w:rsid w:val="4DE05294"/>
    <w:rsid w:val="4ED60DD0"/>
    <w:rsid w:val="4EDE0EB4"/>
    <w:rsid w:val="4EEC42FC"/>
    <w:rsid w:val="4F663D26"/>
    <w:rsid w:val="4FF50073"/>
    <w:rsid w:val="4FF91F95"/>
    <w:rsid w:val="507B63A1"/>
    <w:rsid w:val="52450E86"/>
    <w:rsid w:val="53C904EB"/>
    <w:rsid w:val="544873BE"/>
    <w:rsid w:val="551F57F2"/>
    <w:rsid w:val="573B7F57"/>
    <w:rsid w:val="589D7857"/>
    <w:rsid w:val="58C036DE"/>
    <w:rsid w:val="592D6D4E"/>
    <w:rsid w:val="597475D5"/>
    <w:rsid w:val="5A201118"/>
    <w:rsid w:val="5C584C81"/>
    <w:rsid w:val="5C5B6DBD"/>
    <w:rsid w:val="5F4E7A37"/>
    <w:rsid w:val="5F8623A3"/>
    <w:rsid w:val="5FE87DDD"/>
    <w:rsid w:val="61951BCA"/>
    <w:rsid w:val="61AA0545"/>
    <w:rsid w:val="63FF1BE8"/>
    <w:rsid w:val="640753BD"/>
    <w:rsid w:val="65432A59"/>
    <w:rsid w:val="6595656D"/>
    <w:rsid w:val="662034EF"/>
    <w:rsid w:val="66DB11B2"/>
    <w:rsid w:val="685C0D5E"/>
    <w:rsid w:val="68FE2FAA"/>
    <w:rsid w:val="6A033B84"/>
    <w:rsid w:val="6AEB61C5"/>
    <w:rsid w:val="6B511920"/>
    <w:rsid w:val="6BD46244"/>
    <w:rsid w:val="6C357853"/>
    <w:rsid w:val="6CB71DEE"/>
    <w:rsid w:val="6CD31B48"/>
    <w:rsid w:val="6DA615F0"/>
    <w:rsid w:val="6DC37FF3"/>
    <w:rsid w:val="6DEC7D9C"/>
    <w:rsid w:val="6E7837FF"/>
    <w:rsid w:val="6F207843"/>
    <w:rsid w:val="6FE81A79"/>
    <w:rsid w:val="70531492"/>
    <w:rsid w:val="70877807"/>
    <w:rsid w:val="73740AD4"/>
    <w:rsid w:val="73DC213A"/>
    <w:rsid w:val="73E23F0D"/>
    <w:rsid w:val="73EF00BF"/>
    <w:rsid w:val="7469779F"/>
    <w:rsid w:val="74FF304A"/>
    <w:rsid w:val="75D760BB"/>
    <w:rsid w:val="77A25AEB"/>
    <w:rsid w:val="78583697"/>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989efcec-95a1-49a4-ae5b-fa8fdd1285be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6D329B56</paraID>
      <start>8</start>
      <end>9</end>
      <status>unmodified</status>
      <modifiedWord/>
      <trackRevisions>false</trackRevisions>
    </reviewItem>
    <reviewItem>
      <errorID>ffb0429b-c912-4f18-994c-39081e117252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107B3CF3</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7B36DE87-D7DD-4227-A23F-CC03C3255539}">
  <ds:schemaRefs/>
</ds:datastoreItem>
</file>

<file path=customXml/itemProps2.xml><?xml version="1.0" encoding="utf-8"?>
<ds:datastoreItem xmlns:ds="http://schemas.openxmlformats.org/officeDocument/2006/customXml" ds:itemID="{de43b9a7-e259-4fa8-a707-686af40bee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1413</Words>
  <Characters>1526</Characters>
  <Lines>1</Lines>
  <Paragraphs>1</Paragraphs>
  <TotalTime>23</TotalTime>
  <ScaleCrop>false</ScaleCrop>
  <LinksUpToDate>false</LinksUpToDate>
  <CharactersWithSpaces>1575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王语潇</cp:lastModifiedBy>
  <dcterms:modified xsi:type="dcterms:W3CDTF">2026-05-26T09:43:04Z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2052-12.1.0.26375</vt:lpwstr>
  </property>
  <property fmtid="{D5CDD505-2E9C-101B-9397-08002B2CF9AE}" pid="5" name="ICV">
    <vt:lpwstr>3BF436C649B5486AB5C644C686C35365_13</vt:lpwstr>
  </property>
  <property fmtid="{D5CDD505-2E9C-101B-9397-08002B2CF9AE}" pid="6" name="KSOTemplateDocerSaveRecord">
    <vt:lpwstr>eyJoZGlkIjoiMjA4OTA1NTA5Y2Q5ZGZkZThkNmQ0NjVlMzdmNTkwMGUiLCJ1c2VySWQiOiIxNzIyNzc4MzY2In0=</vt:lpwstr>
  </property>
</Properties>
</file>