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A0CB1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0A0CB1" w:rsidRDefault="00B14369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0A0CB1" w:rsidRDefault="000A0CB1"/>
        </w:tc>
        <w:tc>
          <w:tcPr>
            <w:tcW w:w="4148" w:type="dxa"/>
          </w:tcPr>
          <w:p w14:paraId="79FD47E2" w14:textId="77777777" w:rsidR="000A0CB1" w:rsidRDefault="00B14369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0A0CB1" w:rsidRDefault="00B14369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0A0CB1" w:rsidRDefault="00B14369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38235851" w:rsidR="000A0CB1" w:rsidRDefault="00B14369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编号：2026-00</w:t>
      </w:r>
      <w:r w:rsidR="001209B2">
        <w:rPr>
          <w:rStyle w:val="NormalCharacter"/>
          <w:rFonts w:ascii="宋体" w:hAnsi="宋体"/>
          <w:bCs/>
          <w:iCs/>
          <w:sz w:val="24"/>
        </w:rPr>
        <w:t>5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0A0CB1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0A0CB1" w:rsidRDefault="000A0CB1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3F2B8490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 w:rsidR="00A53B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27FF7CC6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bookmarkStart w:id="0" w:name="OLE_LINK1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0"/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B3209A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0389636E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A53B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00E06335" w:rsidR="000A0CB1" w:rsidRDefault="00E44277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 w:rsidR="00B14369">
              <w:rPr>
                <w:rStyle w:val="NormalCharacter"/>
                <w:rFonts w:ascii="宋体" w:hAnsi="宋体"/>
                <w:sz w:val="24"/>
              </w:rPr>
              <w:t>现场参观</w:t>
            </w:r>
            <w:r w:rsidR="00B14369"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bookmarkStart w:id="1" w:name="OLE_LINK2"/>
            <w:r w:rsidR="00B14369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1"/>
            <w:r w:rsidR="00B14369">
              <w:rPr>
                <w:rStyle w:val="NormalCharacter"/>
                <w:rFonts w:ascii="宋体" w:hAnsi="宋体"/>
                <w:sz w:val="24"/>
              </w:rPr>
              <w:t>其他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0A0CB1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0502594E" w:rsidR="000A0CB1" w:rsidRDefault="00B14369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参与机构与人数：</w:t>
            </w:r>
            <w:r w:rsidR="00B3209A">
              <w:rPr>
                <w:rFonts w:ascii="宋体" w:hAnsi="宋体" w:hint="eastAsia"/>
                <w:bCs/>
                <w:sz w:val="24"/>
                <w:szCs w:val="22"/>
              </w:rPr>
              <w:t>天风证券、东吴证券、兴业证券、</w:t>
            </w:r>
            <w:r w:rsidR="008C0901">
              <w:rPr>
                <w:rFonts w:ascii="宋体" w:hAnsi="宋体" w:hint="eastAsia"/>
                <w:bCs/>
                <w:sz w:val="24"/>
                <w:szCs w:val="22"/>
              </w:rPr>
              <w:t>东北证券、中信证券、中金公司、华创证券、</w:t>
            </w:r>
            <w:proofErr w:type="gramStart"/>
            <w:r w:rsidR="008C0901">
              <w:rPr>
                <w:rFonts w:ascii="宋体" w:hAnsi="宋体" w:hint="eastAsia"/>
                <w:bCs/>
                <w:sz w:val="24"/>
                <w:szCs w:val="22"/>
              </w:rPr>
              <w:t>工银瑞信</w:t>
            </w:r>
            <w:proofErr w:type="gramEnd"/>
            <w:r w:rsidR="008C0901">
              <w:rPr>
                <w:rFonts w:ascii="宋体" w:hAnsi="宋体" w:hint="eastAsia"/>
                <w:bCs/>
                <w:sz w:val="24"/>
                <w:szCs w:val="22"/>
              </w:rPr>
              <w:t>、泰康资产、国寿养老、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等机构的</w:t>
            </w:r>
            <w:r w:rsidR="00B3209A">
              <w:rPr>
                <w:rFonts w:ascii="宋体" w:hAnsi="宋体"/>
                <w:bCs/>
                <w:sz w:val="24"/>
                <w:szCs w:val="22"/>
              </w:rPr>
              <w:t>41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位投资者。</w:t>
            </w:r>
          </w:p>
        </w:tc>
      </w:tr>
      <w:tr w:rsidR="000A0CB1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0A0CB1" w:rsidRDefault="00B14369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7C2646BC" w:rsidR="000A0CB1" w:rsidRDefault="00B14369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1209B2">
              <w:rPr>
                <w:rStyle w:val="NormalCharacter"/>
                <w:rFonts w:ascii="宋体" w:hAnsi="宋体"/>
                <w:bCs/>
                <w:iCs/>
                <w:sz w:val="24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份</w:t>
            </w:r>
          </w:p>
        </w:tc>
      </w:tr>
      <w:tr w:rsidR="000A0CB1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0A0CB1" w:rsidRDefault="00B14369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0BF73A3B" w:rsidR="000A0CB1" w:rsidRDefault="00B3209A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外部策略会、</w:t>
            </w:r>
            <w:r w:rsidR="00885FE2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公司会议室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、线上会议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0A0CB1" w14:paraId="3D033AE1" w14:textId="77777777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2FFBD0C0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EAF2" w14:textId="7D6C081C" w:rsidR="000A0CB1" w:rsidRDefault="00654E82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公司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管理层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及经营团队、证券事务代表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0A0CB1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55F4" w14:textId="77777777" w:rsidR="00B3209A" w:rsidRPr="00B3209A" w:rsidRDefault="00B14369" w:rsidP="00B3209A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  <w:r w:rsidR="00B3209A" w:rsidRPr="00B320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在集采、</w:t>
            </w:r>
            <w:proofErr w:type="gramStart"/>
            <w:r w:rsidR="00B3209A" w:rsidRPr="00B320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医保控费行业</w:t>
            </w:r>
            <w:proofErr w:type="gramEnd"/>
            <w:r w:rsidR="00B3209A" w:rsidRPr="00B320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大背景下，上海医药如何巩固行业龙头地</w:t>
            </w:r>
          </w:p>
          <w:p w14:paraId="714D94B2" w14:textId="2D25D575" w:rsidR="000A0CB1" w:rsidRDefault="00B3209A" w:rsidP="00B3209A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320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位，应对毛利率与现金流压力？</w:t>
            </w:r>
          </w:p>
          <w:p w14:paraId="4EC2EC65" w14:textId="5C279F6B" w:rsidR="00B3209A" w:rsidRPr="00B3209A" w:rsidRDefault="00B14369" w:rsidP="00B3209A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B3209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B3209A" w:rsidRPr="00B3209A">
              <w:rPr>
                <w:rFonts w:ascii="宋体" w:hAnsi="宋体" w:cs="宋体" w:hint="eastAsia"/>
                <w:kern w:val="0"/>
                <w:sz w:val="24"/>
              </w:rPr>
              <w:t>公司始终致力于优化业务结构，提升盈利水平，确保高质量发展。一方面对于存量业务，通过进一步提质增效，优化成本结构，保持毛利水平。另一方面，通过巩固创新业务优势和开拓第二增长曲线，打造新的增长引擎。</w:t>
            </w:r>
          </w:p>
          <w:p w14:paraId="484E75A9" w14:textId="04236007" w:rsidR="000A0CB1" w:rsidRDefault="00B3209A" w:rsidP="00B3209A">
            <w:pPr>
              <w:spacing w:line="276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B3209A">
              <w:rPr>
                <w:rFonts w:ascii="宋体" w:hAnsi="宋体" w:cs="宋体" w:hint="eastAsia"/>
                <w:kern w:val="0"/>
                <w:sz w:val="24"/>
              </w:rPr>
              <w:t>在现金流管理方面，公司始终高度重视现金流安全，坚持审慎稳健的财务管控原则，通过应收账款管理、严控资本开支、优化营运资本周转等方式筑牢资金安全底线，保障公司持续健康运营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CC52AAC" w14:textId="77777777" w:rsidR="000A0CB1" w:rsidRDefault="000A0CB1">
            <w:pPr>
              <w:spacing w:line="276" w:lineRule="auto"/>
              <w:jc w:val="left"/>
            </w:pPr>
          </w:p>
          <w:p w14:paraId="21FE6A0E" w14:textId="103CB349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B3209A" w:rsidRPr="00B320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60732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的C</w:t>
            </w:r>
            <w:r w:rsidR="0060732D">
              <w:rPr>
                <w:rFonts w:ascii="宋体" w:hAnsi="宋体" w:cs="宋体"/>
                <w:b/>
                <w:bCs/>
                <w:kern w:val="0"/>
                <w:sz w:val="24"/>
              </w:rPr>
              <w:t>D20</w:t>
            </w:r>
            <w:r w:rsidR="0060732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靶点新药B</w:t>
            </w:r>
            <w:r w:rsidR="0060732D">
              <w:rPr>
                <w:rFonts w:ascii="宋体" w:hAnsi="宋体" w:cs="宋体"/>
                <w:b/>
                <w:bCs/>
                <w:kern w:val="0"/>
                <w:sz w:val="24"/>
              </w:rPr>
              <w:t>001</w:t>
            </w:r>
            <w:r w:rsidR="0060732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进展如何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383756CE" w14:textId="6433C0D9" w:rsidR="000A0CB1" w:rsidRDefault="00B14369" w:rsidP="00D819BC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截至2</w:t>
            </w:r>
            <w:r w:rsidR="00C6565B">
              <w:rPr>
                <w:rFonts w:ascii="宋体" w:hAnsi="宋体" w:cs="宋体"/>
                <w:kern w:val="0"/>
                <w:sz w:val="24"/>
              </w:rPr>
              <w:t>026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年第一季度，</w:t>
            </w:r>
            <w:r w:rsidR="005C51BA" w:rsidRPr="005C51BA">
              <w:rPr>
                <w:rFonts w:ascii="宋体" w:hAnsi="宋体" w:cs="宋体" w:hint="eastAsia"/>
                <w:kern w:val="0"/>
                <w:sz w:val="24"/>
              </w:rPr>
              <w:t>B001项目用于治疗视神经脊髓炎（NMOSD）的III期临床试验主研究（RCP）已完成揭盲。研究结果显示，B001较安慰剂可显著降低AQP4-IgG阳性NMOSD的复发风险；并且B001较已获批同类药物具备更好的安全性，输液相关不良反应、感染相关不良反应、免疫球蛋白降低和血液学相关不良反应的发生率均更低。</w:t>
            </w:r>
          </w:p>
          <w:p w14:paraId="3933ECDA" w14:textId="77777777" w:rsidR="000A0CB1" w:rsidRDefault="000A0CB1">
            <w:pPr>
              <w:spacing w:line="276" w:lineRule="auto"/>
              <w:jc w:val="left"/>
            </w:pPr>
          </w:p>
          <w:p w14:paraId="18123007" w14:textId="0EC060CD" w:rsidR="000A0CB1" w:rsidRPr="000C227F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C227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3C3AAB" w:rsidRPr="000C227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8C0901" w:rsidRPr="000C227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在细胞治疗方面的布局</w:t>
            </w:r>
            <w:r w:rsidRPr="000C227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0CC9454D" w14:textId="7897327F" w:rsidR="000A0CB1" w:rsidRDefault="00B14369" w:rsidP="00D819BC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0C227F"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0C227F">
              <w:rPr>
                <w:rFonts w:ascii="宋体" w:hAnsi="宋体" w:cs="宋体" w:hint="eastAsia"/>
                <w:kern w:val="0"/>
                <w:sz w:val="24"/>
              </w:rPr>
              <w:t>上海医药旗下上药生物治疗积极布局C</w:t>
            </w:r>
            <w:r w:rsidR="000C227F">
              <w:rPr>
                <w:rFonts w:ascii="宋体" w:hAnsi="宋体" w:cs="宋体"/>
                <w:kern w:val="0"/>
                <w:sz w:val="24"/>
              </w:rPr>
              <w:t>GT</w:t>
            </w:r>
            <w:r w:rsidR="000C227F">
              <w:rPr>
                <w:rFonts w:ascii="宋体" w:hAnsi="宋体" w:cs="宋体" w:hint="eastAsia"/>
                <w:kern w:val="0"/>
                <w:sz w:val="24"/>
              </w:rPr>
              <w:t>（细胞与基因治疗）赛道，目前</w:t>
            </w:r>
            <w:r w:rsidR="00D819BC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8C0901" w:rsidRPr="008C0901">
              <w:rPr>
                <w:rFonts w:ascii="宋体" w:hAnsi="宋体" w:cs="宋体" w:hint="eastAsia"/>
                <w:kern w:val="0"/>
                <w:sz w:val="24"/>
              </w:rPr>
              <w:t>在</w:t>
            </w:r>
            <w:proofErr w:type="gramStart"/>
            <w:r w:rsidR="008C0901" w:rsidRPr="008C0901"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 w:rsidR="008C0901" w:rsidRPr="008C0901">
              <w:rPr>
                <w:rFonts w:ascii="宋体" w:hAnsi="宋体" w:cs="宋体" w:hint="eastAsia"/>
                <w:kern w:val="0"/>
                <w:sz w:val="24"/>
              </w:rPr>
              <w:t>管线中，双靶点CAR-T产品B019针对儿童急性淋巴细胞白血病、成人非霍奇金淋巴瘤两大适应症的Ⅰ期临床试验，目前正按计划有序推进，</w:t>
            </w:r>
            <w:r w:rsidR="008C0901">
              <w:rPr>
                <w:rFonts w:ascii="宋体" w:hAnsi="宋体" w:cs="宋体" w:hint="eastAsia"/>
                <w:kern w:val="0"/>
                <w:sz w:val="24"/>
              </w:rPr>
              <w:t>另一款</w:t>
            </w:r>
            <w:r w:rsidR="008C0901" w:rsidRPr="008C0901">
              <w:rPr>
                <w:rFonts w:ascii="宋体" w:hAnsi="宋体" w:cs="宋体" w:hint="eastAsia"/>
                <w:kern w:val="0"/>
                <w:sz w:val="24"/>
              </w:rPr>
              <w:t>自主研发的通用型</w:t>
            </w:r>
            <w:proofErr w:type="spellStart"/>
            <w:r w:rsidR="008C0901" w:rsidRPr="008C0901">
              <w:rPr>
                <w:rFonts w:ascii="宋体" w:hAnsi="宋体" w:cs="宋体" w:hint="eastAsia"/>
                <w:kern w:val="0"/>
                <w:sz w:val="24"/>
              </w:rPr>
              <w:t>iNKT</w:t>
            </w:r>
            <w:proofErr w:type="spellEnd"/>
            <w:r w:rsidR="008C0901" w:rsidRPr="008C0901">
              <w:rPr>
                <w:rFonts w:ascii="宋体" w:hAnsi="宋体" w:cs="宋体" w:hint="eastAsia"/>
                <w:kern w:val="0"/>
                <w:sz w:val="24"/>
              </w:rPr>
              <w:t>细胞治疗产品B023</w:t>
            </w:r>
            <w:r w:rsidR="000C227F">
              <w:rPr>
                <w:rFonts w:ascii="宋体" w:hAnsi="宋体" w:cs="宋体" w:hint="eastAsia"/>
                <w:kern w:val="0"/>
                <w:sz w:val="24"/>
              </w:rPr>
              <w:t>已获批临床</w:t>
            </w:r>
            <w:r w:rsidR="008C0901" w:rsidRPr="008C0901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751482E5" w14:textId="2EEE7823" w:rsidR="00E62AFA" w:rsidRDefault="00E62AF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0CFB14B" w14:textId="1238282F" w:rsidR="00E62AFA" w:rsidRPr="000C227F" w:rsidRDefault="00E62AFA" w:rsidP="00E62AFA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C227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商业板块C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SO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业务进展</w:t>
            </w:r>
            <w:r w:rsidRPr="000C227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0D83B4C1" w14:textId="15BD9062" w:rsidR="00E62AFA" w:rsidRPr="00E62AFA" w:rsidRDefault="00E62AFA" w:rsidP="00D819BC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0C227F"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Pr="00E62AFA">
              <w:rPr>
                <w:rFonts w:ascii="宋体" w:hAnsi="宋体" w:cs="宋体" w:hint="eastAsia"/>
                <w:kern w:val="0"/>
                <w:sz w:val="24"/>
              </w:rPr>
              <w:t>公司持续为合作伙伴提供优质可靠的商业化解决方案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E62AFA">
              <w:rPr>
                <w:rFonts w:ascii="宋体" w:hAnsi="宋体" w:cs="宋体" w:hint="eastAsia"/>
                <w:kern w:val="0"/>
                <w:sz w:val="24"/>
              </w:rPr>
              <w:t>高效链接全球医药资源与本土市场需求。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025</w:t>
            </w:r>
            <w:r>
              <w:rPr>
                <w:rFonts w:ascii="宋体" w:hAnsi="宋体" w:cs="宋体" w:hint="eastAsia"/>
                <w:kern w:val="0"/>
                <w:sz w:val="24"/>
              </w:rPr>
              <w:t>年，公司</w:t>
            </w:r>
            <w:r w:rsidRPr="00E62AFA">
              <w:rPr>
                <w:rFonts w:ascii="宋体" w:hAnsi="宋体" w:cs="宋体" w:hint="eastAsia"/>
                <w:kern w:val="0"/>
                <w:sz w:val="24"/>
              </w:rPr>
              <w:t>CSO业务整体规模实现百亿突破</w:t>
            </w:r>
            <w:r>
              <w:rPr>
                <w:rFonts w:ascii="宋体" w:hAnsi="宋体" w:cs="宋体" w:hint="eastAsia"/>
                <w:kern w:val="0"/>
                <w:sz w:val="24"/>
              </w:rPr>
              <w:t>，2</w:t>
            </w:r>
            <w:r>
              <w:rPr>
                <w:rFonts w:ascii="宋体" w:hAnsi="宋体" w:cs="宋体"/>
                <w:kern w:val="0"/>
                <w:sz w:val="24"/>
              </w:rPr>
              <w:t>026</w:t>
            </w:r>
            <w:r>
              <w:rPr>
                <w:rFonts w:ascii="宋体" w:hAnsi="宋体" w:cs="宋体" w:hint="eastAsia"/>
                <w:kern w:val="0"/>
                <w:sz w:val="24"/>
              </w:rPr>
              <w:t>年第一季度继续</w:t>
            </w:r>
            <w:r w:rsidRPr="00E62AFA">
              <w:rPr>
                <w:rFonts w:ascii="宋体" w:hAnsi="宋体" w:cs="宋体" w:hint="eastAsia"/>
                <w:kern w:val="0"/>
                <w:sz w:val="24"/>
              </w:rPr>
              <w:t>保持良好发展势头，新承接7个品种的商业化合作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53CFA491" w14:textId="77777777" w:rsidR="000A0CB1" w:rsidRPr="008C090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  <w:p w14:paraId="0EE0E056" w14:textId="3E0A45AC" w:rsidR="000A0CB1" w:rsidRPr="00BA48DD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48D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60732D" w:rsidRPr="00BA48D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公司工业板块</w:t>
            </w:r>
            <w:r w:rsidR="00AF0F2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现有</w:t>
            </w:r>
            <w:r w:rsidR="001F77A7" w:rsidRPr="00BA48D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产品布局</w:t>
            </w:r>
            <w:r w:rsidR="00D64C28" w:rsidRPr="00BA48D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0152FD59" w14:textId="2B4A26A8" w:rsidR="000A0CB1" w:rsidRPr="001F77A7" w:rsidRDefault="00B14369" w:rsidP="00D819BC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BA48DD"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BA48DD" w:rsidRPr="00BA48DD">
              <w:rPr>
                <w:rFonts w:ascii="宋体" w:hAnsi="宋体" w:cs="宋体" w:hint="eastAsia"/>
                <w:kern w:val="0"/>
                <w:sz w:val="24"/>
              </w:rPr>
              <w:t>公司工业</w:t>
            </w:r>
            <w:r w:rsidR="00BA48DD">
              <w:rPr>
                <w:rFonts w:ascii="宋体" w:hAnsi="宋体" w:cs="宋体" w:hint="eastAsia"/>
                <w:kern w:val="0"/>
                <w:sz w:val="24"/>
              </w:rPr>
              <w:t>板块</w:t>
            </w:r>
            <w:r w:rsidR="00BA48DD" w:rsidRPr="00BA48DD">
              <w:rPr>
                <w:rFonts w:ascii="宋体" w:hAnsi="宋体" w:cs="宋体" w:hint="eastAsia"/>
                <w:kern w:val="0"/>
                <w:sz w:val="24"/>
              </w:rPr>
              <w:t>覆盖化学和生物药品、现代中药和保健品、医疗器械等范围，聚焦免疫、精神神经、肿瘤、心血管、消化代谢及抗感染等疾病领域。公司在国内12个省市以及海外建有药品生产基地，常年生产约800个药品</w:t>
            </w:r>
            <w:proofErr w:type="gramStart"/>
            <w:r w:rsidR="00BA48DD" w:rsidRPr="00BA48DD">
              <w:rPr>
                <w:rFonts w:ascii="宋体" w:hAnsi="宋体" w:cs="宋体" w:hint="eastAsia"/>
                <w:kern w:val="0"/>
                <w:sz w:val="24"/>
              </w:rPr>
              <w:t>品规</w:t>
            </w:r>
            <w:proofErr w:type="gramEnd"/>
            <w:r w:rsidR="00BA48DD" w:rsidRPr="00BA48DD">
              <w:rPr>
                <w:rFonts w:ascii="宋体" w:hAnsi="宋体" w:cs="宋体" w:hint="eastAsia"/>
                <w:kern w:val="0"/>
                <w:sz w:val="24"/>
              </w:rPr>
              <w:t>，30多种剂型。</w:t>
            </w:r>
            <w:r w:rsidR="001F77A7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F77A7">
              <w:rPr>
                <w:rFonts w:ascii="宋体" w:hAnsi="宋体" w:cs="宋体"/>
                <w:kern w:val="0"/>
                <w:sz w:val="24"/>
              </w:rPr>
              <w:t>025</w:t>
            </w:r>
            <w:r w:rsidR="001F77A7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F77A7" w:rsidRPr="001F77A7">
              <w:rPr>
                <w:rFonts w:ascii="宋体" w:hAnsi="宋体" w:cs="宋体" w:hint="eastAsia"/>
                <w:kern w:val="0"/>
                <w:sz w:val="24"/>
              </w:rPr>
              <w:t>公司实现工业销售过</w:t>
            </w:r>
            <w:proofErr w:type="gramStart"/>
            <w:r w:rsidR="001F77A7" w:rsidRPr="001F77A7">
              <w:rPr>
                <w:rFonts w:ascii="宋体" w:hAnsi="宋体" w:cs="宋体" w:hint="eastAsia"/>
                <w:kern w:val="0"/>
                <w:sz w:val="24"/>
              </w:rPr>
              <w:t>亿产品</w:t>
            </w:r>
            <w:proofErr w:type="gramEnd"/>
            <w:r w:rsidR="001F77A7" w:rsidRPr="001F77A7">
              <w:rPr>
                <w:rFonts w:ascii="宋体" w:hAnsi="宋体" w:cs="宋体" w:hint="eastAsia"/>
                <w:kern w:val="0"/>
                <w:sz w:val="24"/>
              </w:rPr>
              <w:t>数量40个，其中过10亿产品数量4个。</w:t>
            </w:r>
          </w:p>
          <w:p w14:paraId="64055411" w14:textId="77777777" w:rsidR="000A0CB1" w:rsidRPr="008C090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  <w:p w14:paraId="452F9167" w14:textId="1BE5D6B9" w:rsidR="000A0CB1" w:rsidRPr="00547FC7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47F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547FC7" w:rsidRPr="00547F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公司的零售网络涉及哪些种类的</w:t>
            </w:r>
            <w:proofErr w:type="gramStart"/>
            <w:r w:rsidR="00547FC7" w:rsidRPr="00547F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</w:t>
            </w:r>
            <w:proofErr w:type="gramEnd"/>
            <w:r w:rsidR="00547FC7" w:rsidRPr="00547F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药房</w:t>
            </w:r>
            <w:r w:rsidRPr="00547F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2B176AC0" w14:textId="2E53FB75" w:rsidR="000A0CB1" w:rsidRDefault="00B14369" w:rsidP="00D819BC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547FC7"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547FC7" w:rsidRPr="00547FC7">
              <w:rPr>
                <w:rFonts w:ascii="宋体" w:hAnsi="宋体" w:cs="宋体" w:hint="eastAsia"/>
                <w:kern w:val="0"/>
                <w:sz w:val="24"/>
              </w:rPr>
              <w:t>上海医药在全国1</w:t>
            </w:r>
            <w:r w:rsidR="00547FC7" w:rsidRPr="00547FC7">
              <w:rPr>
                <w:rFonts w:ascii="宋体" w:hAnsi="宋体" w:cs="宋体"/>
                <w:kern w:val="0"/>
                <w:sz w:val="24"/>
              </w:rPr>
              <w:t>6</w:t>
            </w:r>
            <w:r w:rsidR="00547FC7" w:rsidRPr="00547FC7">
              <w:rPr>
                <w:rFonts w:ascii="宋体" w:hAnsi="宋体" w:cs="宋体" w:hint="eastAsia"/>
                <w:kern w:val="0"/>
                <w:sz w:val="24"/>
              </w:rPr>
              <w:t>个省区市，拥有多家优质品牌药房，包括连锁药房、医疗机构院边药房</w:t>
            </w:r>
            <w:r w:rsidR="00F97CF0">
              <w:rPr>
                <w:rFonts w:ascii="宋体" w:hAnsi="宋体" w:cs="宋体" w:hint="eastAsia"/>
                <w:kern w:val="0"/>
                <w:sz w:val="24"/>
              </w:rPr>
              <w:t>、专业</w:t>
            </w:r>
            <w:r w:rsidR="00547FC7" w:rsidRPr="00547FC7">
              <w:rPr>
                <w:rFonts w:ascii="宋体" w:hAnsi="宋体" w:cs="宋体" w:hint="eastAsia"/>
                <w:kern w:val="0"/>
                <w:sz w:val="24"/>
              </w:rPr>
              <w:t>药房。同时，</w:t>
            </w:r>
            <w:r w:rsidR="00D819BC" w:rsidRPr="00D819BC">
              <w:rPr>
                <w:rFonts w:ascii="宋体" w:hAnsi="宋体" w:cs="宋体" w:hint="eastAsia"/>
                <w:kern w:val="0"/>
                <w:sz w:val="24"/>
              </w:rPr>
              <w:t>公司逐步落地“新零售一体化”战略，以专业药房为枢纽，通过AI智能化升级，构建以患者为中心、覆盖创新药为主的全病程健康管理服务体系。</w:t>
            </w:r>
          </w:p>
        </w:tc>
      </w:tr>
      <w:tr w:rsidR="000A0CB1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0A0CB1" w:rsidRDefault="00B14369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0A0CB1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0A0CB1" w:rsidRDefault="00B14369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0A0CB1" w:rsidRDefault="000A0CB1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0A0CB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9930" w14:textId="77777777" w:rsidR="00490438" w:rsidRDefault="00490438">
      <w:r>
        <w:separator/>
      </w:r>
    </w:p>
  </w:endnote>
  <w:endnote w:type="continuationSeparator" w:id="0">
    <w:p w14:paraId="57ED078E" w14:textId="77777777" w:rsidR="00490438" w:rsidRDefault="0049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0A0CB1" w:rsidRDefault="000A0CB1">
    <w:pPr>
      <w:pStyle w:val="a9"/>
      <w:framePr w:wrap="around" w:hAnchor="text" w:xAlign="center" w:y="1"/>
      <w:rPr>
        <w:rStyle w:val="PageNumber"/>
      </w:rPr>
    </w:pPr>
  </w:p>
  <w:p w14:paraId="7914E9DE" w14:textId="77777777" w:rsidR="000A0CB1" w:rsidRDefault="000A0CB1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0A0CB1" w:rsidRDefault="00B1436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098BCA03" w14:textId="77777777" w:rsidR="000A0CB1" w:rsidRDefault="000A0CB1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2DAD" w14:textId="77777777" w:rsidR="00490438" w:rsidRDefault="00490438">
      <w:r>
        <w:separator/>
      </w:r>
    </w:p>
  </w:footnote>
  <w:footnote w:type="continuationSeparator" w:id="0">
    <w:p w14:paraId="7857726D" w14:textId="77777777" w:rsidR="00490438" w:rsidRDefault="0049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0A0CB1" w:rsidRDefault="000A0CB1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106BF"/>
    <w:rsid w:val="000176D7"/>
    <w:rsid w:val="00031563"/>
    <w:rsid w:val="00043366"/>
    <w:rsid w:val="000767B8"/>
    <w:rsid w:val="000867C7"/>
    <w:rsid w:val="00095809"/>
    <w:rsid w:val="000A0CB1"/>
    <w:rsid w:val="000C227F"/>
    <w:rsid w:val="000C281C"/>
    <w:rsid w:val="000C74D8"/>
    <w:rsid w:val="000E1D70"/>
    <w:rsid w:val="001209B2"/>
    <w:rsid w:val="001221D9"/>
    <w:rsid w:val="001273E4"/>
    <w:rsid w:val="0015162D"/>
    <w:rsid w:val="00162E1B"/>
    <w:rsid w:val="001B7189"/>
    <w:rsid w:val="001C5440"/>
    <w:rsid w:val="001F77A7"/>
    <w:rsid w:val="00223D7B"/>
    <w:rsid w:val="00233822"/>
    <w:rsid w:val="00263447"/>
    <w:rsid w:val="00292E82"/>
    <w:rsid w:val="002B2DFE"/>
    <w:rsid w:val="002B58AA"/>
    <w:rsid w:val="002B65B4"/>
    <w:rsid w:val="002C6B79"/>
    <w:rsid w:val="002F7159"/>
    <w:rsid w:val="00307DBE"/>
    <w:rsid w:val="00321F3A"/>
    <w:rsid w:val="00327A2B"/>
    <w:rsid w:val="003452E5"/>
    <w:rsid w:val="00346511"/>
    <w:rsid w:val="00371FFD"/>
    <w:rsid w:val="0038018B"/>
    <w:rsid w:val="00380974"/>
    <w:rsid w:val="00390461"/>
    <w:rsid w:val="003A2CB1"/>
    <w:rsid w:val="003C3AAB"/>
    <w:rsid w:val="003C767A"/>
    <w:rsid w:val="003D4770"/>
    <w:rsid w:val="003E6A30"/>
    <w:rsid w:val="003F54AA"/>
    <w:rsid w:val="0042255F"/>
    <w:rsid w:val="00490438"/>
    <w:rsid w:val="0049785A"/>
    <w:rsid w:val="004C3851"/>
    <w:rsid w:val="004E2C16"/>
    <w:rsid w:val="004E500B"/>
    <w:rsid w:val="00506348"/>
    <w:rsid w:val="005064E8"/>
    <w:rsid w:val="0051714D"/>
    <w:rsid w:val="00541826"/>
    <w:rsid w:val="00545187"/>
    <w:rsid w:val="00547FC7"/>
    <w:rsid w:val="005831D8"/>
    <w:rsid w:val="005B0843"/>
    <w:rsid w:val="005B2473"/>
    <w:rsid w:val="005C51BA"/>
    <w:rsid w:val="005D37C3"/>
    <w:rsid w:val="005E5816"/>
    <w:rsid w:val="005F66A3"/>
    <w:rsid w:val="0060732D"/>
    <w:rsid w:val="00654E82"/>
    <w:rsid w:val="00670FF2"/>
    <w:rsid w:val="0068469E"/>
    <w:rsid w:val="006B0979"/>
    <w:rsid w:val="006C7D17"/>
    <w:rsid w:val="00701239"/>
    <w:rsid w:val="007139E4"/>
    <w:rsid w:val="00720FD7"/>
    <w:rsid w:val="007220FC"/>
    <w:rsid w:val="00722D51"/>
    <w:rsid w:val="0073265E"/>
    <w:rsid w:val="00733A5A"/>
    <w:rsid w:val="00735B26"/>
    <w:rsid w:val="0074282E"/>
    <w:rsid w:val="00745663"/>
    <w:rsid w:val="007554F2"/>
    <w:rsid w:val="00756FF9"/>
    <w:rsid w:val="00881D7A"/>
    <w:rsid w:val="00885FE2"/>
    <w:rsid w:val="008C0901"/>
    <w:rsid w:val="00962079"/>
    <w:rsid w:val="0097541E"/>
    <w:rsid w:val="009762B3"/>
    <w:rsid w:val="00A20F79"/>
    <w:rsid w:val="00A2283F"/>
    <w:rsid w:val="00A31E51"/>
    <w:rsid w:val="00A40C32"/>
    <w:rsid w:val="00A53B84"/>
    <w:rsid w:val="00A8351D"/>
    <w:rsid w:val="00A86522"/>
    <w:rsid w:val="00A934AA"/>
    <w:rsid w:val="00AA0D98"/>
    <w:rsid w:val="00AB4FB7"/>
    <w:rsid w:val="00AC2889"/>
    <w:rsid w:val="00AC3736"/>
    <w:rsid w:val="00AD36AC"/>
    <w:rsid w:val="00AF09C3"/>
    <w:rsid w:val="00AF0F25"/>
    <w:rsid w:val="00B14369"/>
    <w:rsid w:val="00B3209A"/>
    <w:rsid w:val="00B52F84"/>
    <w:rsid w:val="00B60FF5"/>
    <w:rsid w:val="00B83D45"/>
    <w:rsid w:val="00BA0014"/>
    <w:rsid w:val="00BA1E4C"/>
    <w:rsid w:val="00BA48DD"/>
    <w:rsid w:val="00BB2E68"/>
    <w:rsid w:val="00BD4000"/>
    <w:rsid w:val="00BE31D8"/>
    <w:rsid w:val="00C14789"/>
    <w:rsid w:val="00C242EB"/>
    <w:rsid w:val="00C36353"/>
    <w:rsid w:val="00C6565B"/>
    <w:rsid w:val="00CA1744"/>
    <w:rsid w:val="00CA3A36"/>
    <w:rsid w:val="00CB5C96"/>
    <w:rsid w:val="00CB7D45"/>
    <w:rsid w:val="00CE08CC"/>
    <w:rsid w:val="00D2297A"/>
    <w:rsid w:val="00D33D69"/>
    <w:rsid w:val="00D61FE4"/>
    <w:rsid w:val="00D642F8"/>
    <w:rsid w:val="00D64C28"/>
    <w:rsid w:val="00D73FC5"/>
    <w:rsid w:val="00D819BC"/>
    <w:rsid w:val="00D868F4"/>
    <w:rsid w:val="00D92A51"/>
    <w:rsid w:val="00DA6E11"/>
    <w:rsid w:val="00DB4A2B"/>
    <w:rsid w:val="00E02835"/>
    <w:rsid w:val="00E1629C"/>
    <w:rsid w:val="00E44277"/>
    <w:rsid w:val="00E47BCF"/>
    <w:rsid w:val="00E62AFA"/>
    <w:rsid w:val="00E81462"/>
    <w:rsid w:val="00E905C1"/>
    <w:rsid w:val="00EE63EC"/>
    <w:rsid w:val="00F01F02"/>
    <w:rsid w:val="00F02F49"/>
    <w:rsid w:val="00F04AE7"/>
    <w:rsid w:val="00F12697"/>
    <w:rsid w:val="00F23045"/>
    <w:rsid w:val="00F246BA"/>
    <w:rsid w:val="00F24DF8"/>
    <w:rsid w:val="00F61DCD"/>
    <w:rsid w:val="00F871BE"/>
    <w:rsid w:val="00F93F41"/>
    <w:rsid w:val="00F97CF0"/>
    <w:rsid w:val="00FB1E69"/>
    <w:rsid w:val="00FC1FA4"/>
    <w:rsid w:val="00FC4A73"/>
    <w:rsid w:val="00FE16D0"/>
    <w:rsid w:val="00FF19BD"/>
    <w:rsid w:val="2B7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27EF7"/>
  <w15:docId w15:val="{65A247D7-5A69-4452-83C6-8A192A7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customStyle="1" w:styleId="40">
    <w:name w:val="修订4"/>
    <w:uiPriority w:val="99"/>
    <w:qFormat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220</Words>
  <Characters>1254</Characters>
  <Application>Microsoft Office Word</Application>
  <DocSecurity>0</DocSecurity>
  <Lines>10</Lines>
  <Paragraphs>2</Paragraphs>
  <ScaleCrop>false</ScaleCrop>
  <Company>SPH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王梓安</cp:lastModifiedBy>
  <cp:revision>9</cp:revision>
  <cp:lastPrinted>2026-02-27T02:58:00Z</cp:lastPrinted>
  <dcterms:created xsi:type="dcterms:W3CDTF">2026-05-21T05:11:00Z</dcterms:created>
  <dcterms:modified xsi:type="dcterms:W3CDTF">2026-05-25T02:20:00Z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9887587360EC4A7BA9395DE43D7FACA0_13</vt:lpwstr>
  </property>
  <property fmtid="{D5CDD505-2E9C-101B-9397-08002B2CF9AE}" pid="4" name="KSOTemplateDocerSaveRecord">
    <vt:lpwstr>eyJoZGlkIjoiZjkyMTkyOTY2M2JkNTY4ZThkNTA2NmRjZWI3OWUxMzIiLCJ1c2VySWQiOiIxNzMyNzYwMjE0In0=</vt:lpwstr>
  </property>
</Properties>
</file>