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4A84">
      <w:pPr>
        <w:spacing w:line="360" w:lineRule="auto"/>
        <w:rPr>
          <w:rFonts w:ascii="宋体" w:hAnsi="宋体"/>
          <w:b/>
          <w:sz w:val="24"/>
          <w:szCs w:val="28"/>
        </w:rPr>
      </w:pPr>
      <w:bookmarkStart w:id="0" w:name="_bookmark11"/>
      <w:bookmarkEnd w:id="0"/>
      <w:r>
        <w:rPr>
          <w:rFonts w:ascii="宋体" w:hAnsi="宋体"/>
          <w:b/>
          <w:sz w:val="24"/>
          <w:szCs w:val="28"/>
        </w:rPr>
        <w:t>证券代码：</w:t>
      </w:r>
      <w:r>
        <w:rPr>
          <w:rFonts w:hint="eastAsia" w:ascii="宋体" w:hAnsi="宋体"/>
          <w:b/>
          <w:sz w:val="24"/>
          <w:szCs w:val="28"/>
        </w:rPr>
        <w:t>603334</w:t>
      </w:r>
      <w:r>
        <w:rPr>
          <w:rFonts w:ascii="宋体" w:hAnsi="宋体"/>
          <w:b/>
          <w:sz w:val="24"/>
          <w:szCs w:val="28"/>
        </w:rPr>
        <w:t xml:space="preserve">                                  证券简称：</w:t>
      </w:r>
      <w:r>
        <w:rPr>
          <w:rFonts w:hint="eastAsia" w:ascii="宋体" w:hAnsi="宋体"/>
          <w:b/>
          <w:sz w:val="24"/>
          <w:szCs w:val="28"/>
        </w:rPr>
        <w:t>丰倍生物</w:t>
      </w:r>
    </w:p>
    <w:p w14:paraId="24CFA12B">
      <w:pPr>
        <w:spacing w:before="156" w:beforeLines="50"/>
        <w:ind w:firstLine="281" w:firstLineChars="100"/>
        <w:jc w:val="center"/>
        <w:rPr>
          <w:b/>
          <w:sz w:val="28"/>
          <w:szCs w:val="28"/>
        </w:rPr>
      </w:pPr>
      <w:r>
        <w:rPr>
          <w:rFonts w:hint="eastAsia"/>
          <w:b/>
          <w:sz w:val="28"/>
          <w:szCs w:val="28"/>
        </w:rPr>
        <w:t>苏州丰倍生物科技股份有限公司</w:t>
      </w:r>
    </w:p>
    <w:p w14:paraId="4C66A1B9">
      <w:pPr>
        <w:ind w:firstLine="281" w:firstLineChars="100"/>
        <w:jc w:val="center"/>
        <w:rPr>
          <w:b/>
          <w:sz w:val="28"/>
          <w:szCs w:val="28"/>
        </w:rPr>
      </w:pPr>
      <w:r>
        <w:rPr>
          <w:rFonts w:hint="eastAsia"/>
          <w:b/>
          <w:sz w:val="28"/>
          <w:szCs w:val="28"/>
        </w:rPr>
        <w:t>投资者关系活动记录表</w:t>
      </w:r>
    </w:p>
    <w:p w14:paraId="18570B67">
      <w:pPr>
        <w:ind w:firstLine="241" w:firstLineChars="100"/>
        <w:jc w:val="right"/>
        <w:rPr>
          <w:b/>
          <w:sz w:val="24"/>
          <w:szCs w:val="28"/>
        </w:rPr>
      </w:pPr>
      <w:r>
        <w:rPr>
          <w:b/>
          <w:sz w:val="24"/>
          <w:szCs w:val="28"/>
        </w:rPr>
        <w:t>编号：</w:t>
      </w:r>
      <w:r>
        <w:rPr>
          <w:rFonts w:ascii="宋体" w:hAnsi="宋体"/>
          <w:b/>
          <w:sz w:val="24"/>
          <w:szCs w:val="28"/>
        </w:rPr>
        <w:t>202</w:t>
      </w:r>
      <w:r>
        <w:rPr>
          <w:rFonts w:hint="eastAsia" w:ascii="宋体" w:hAnsi="宋体"/>
          <w:b/>
          <w:sz w:val="24"/>
          <w:szCs w:val="28"/>
        </w:rPr>
        <w:t>6</w:t>
      </w:r>
      <w:r>
        <w:rPr>
          <w:rFonts w:ascii="宋体" w:hAnsi="宋体"/>
          <w:b/>
          <w:sz w:val="24"/>
          <w:szCs w:val="28"/>
        </w:rPr>
        <w:t>-0</w:t>
      </w:r>
      <w:r>
        <w:rPr>
          <w:rFonts w:hint="eastAsia" w:ascii="宋体" w:hAnsi="宋体"/>
          <w:b/>
          <w:sz w:val="24"/>
          <w:szCs w:val="28"/>
        </w:rPr>
        <w:t>04</w:t>
      </w:r>
    </w:p>
    <w:tbl>
      <w:tblPr>
        <w:tblStyle w:val="9"/>
        <w:tblW w:w="9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6095"/>
      </w:tblGrid>
      <w:tr w14:paraId="7B3C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3258" w:type="dxa"/>
            <w:vAlign w:val="center"/>
          </w:tcPr>
          <w:p w14:paraId="5E5D360C">
            <w:pPr>
              <w:widowControl/>
              <w:kinsoku w:val="0"/>
              <w:autoSpaceDE w:val="0"/>
              <w:autoSpaceDN w:val="0"/>
              <w:adjustRightInd w:val="0"/>
              <w:snapToGrid w:val="0"/>
              <w:spacing w:before="75" w:line="227" w:lineRule="auto"/>
              <w:ind w:firstLine="260" w:firstLineChars="100"/>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投资者关系活动类别</w:t>
            </w:r>
          </w:p>
        </w:tc>
        <w:tc>
          <w:tcPr>
            <w:tcW w:w="6095" w:type="dxa"/>
            <w:vAlign w:val="center"/>
          </w:tcPr>
          <w:p w14:paraId="38EF5D13">
            <w:pPr>
              <w:widowControl/>
              <w:kinsoku w:val="0"/>
              <w:autoSpaceDE w:val="0"/>
              <w:autoSpaceDN w:val="0"/>
              <w:adjustRightInd w:val="0"/>
              <w:snapToGrid w:val="0"/>
              <w:spacing w:before="75" w:line="227" w:lineRule="auto"/>
              <w:ind w:left="343"/>
              <w:textAlignment w:val="baseline"/>
              <w:rPr>
                <w:rFonts w:ascii="宋体" w:hAnsi="宋体"/>
                <w:snapToGrid w:val="0"/>
                <w:color w:val="000000"/>
                <w:spacing w:val="7"/>
                <w:kern w:val="0"/>
                <w:sz w:val="24"/>
              </w:rPr>
            </w:pPr>
            <w:r>
              <w:rPr>
                <w:rFonts w:hint="eastAsia" w:ascii="MS Gothic" w:hAnsi="MS Gothic"/>
                <w:sz w:val="24"/>
              </w:rPr>
              <w:t>☑</w:t>
            </w:r>
            <w:r>
              <w:rPr>
                <w:rFonts w:ascii="宋体" w:hAnsi="宋体"/>
                <w:snapToGrid w:val="0"/>
                <w:color w:val="000000"/>
                <w:spacing w:val="7"/>
                <w:kern w:val="0"/>
                <w:sz w:val="24"/>
              </w:rPr>
              <w:t>特定对象调研        □分析师会议</w:t>
            </w:r>
          </w:p>
          <w:p w14:paraId="51D27F43">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w:t>
            </w:r>
            <w:r>
              <w:rPr>
                <w:rFonts w:ascii="宋体" w:hAnsi="宋体"/>
                <w:snapToGrid w:val="0"/>
                <w:color w:val="000000"/>
                <w:spacing w:val="7"/>
                <w:kern w:val="0"/>
                <w:sz w:val="24"/>
              </w:rPr>
              <w:t xml:space="preserve">媒体采访            </w:t>
            </w:r>
            <w:r>
              <w:rPr>
                <w:rFonts w:hint="eastAsia" w:ascii="宋体" w:hAnsi="宋体"/>
                <w:snapToGrid w:val="0"/>
                <w:color w:val="000000"/>
                <w:spacing w:val="7"/>
                <w:kern w:val="0"/>
                <w:sz w:val="24"/>
              </w:rPr>
              <w:t>□</w:t>
            </w:r>
            <w:r>
              <w:rPr>
                <w:rFonts w:ascii="宋体" w:hAnsi="宋体"/>
                <w:snapToGrid w:val="0"/>
                <w:color w:val="000000"/>
                <w:spacing w:val="7"/>
                <w:kern w:val="0"/>
                <w:sz w:val="24"/>
              </w:rPr>
              <w:t>业绩说明会</w:t>
            </w:r>
          </w:p>
          <w:p w14:paraId="1369139F">
            <w:pPr>
              <w:widowControl/>
              <w:kinsoku w:val="0"/>
              <w:autoSpaceDE w:val="0"/>
              <w:autoSpaceDN w:val="0"/>
              <w:adjustRightInd w:val="0"/>
              <w:snapToGrid w:val="0"/>
              <w:spacing w:before="185"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□新闻发布会          □路演活动</w:t>
            </w:r>
          </w:p>
          <w:p w14:paraId="41226BEA">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□现场参观</w:t>
            </w:r>
            <w:r>
              <w:rPr>
                <w:rFonts w:hint="eastAsia" w:ascii="宋体" w:hAnsi="宋体"/>
                <w:snapToGrid w:val="0"/>
                <w:color w:val="000000"/>
                <w:spacing w:val="7"/>
                <w:kern w:val="0"/>
                <w:sz w:val="24"/>
              </w:rPr>
              <w:t xml:space="preserve">            </w:t>
            </w:r>
            <w:r>
              <w:rPr>
                <w:rFonts w:ascii="宋体" w:hAnsi="宋体"/>
                <w:snapToGrid w:val="0"/>
                <w:color w:val="000000"/>
                <w:spacing w:val="7"/>
                <w:kern w:val="0"/>
                <w:sz w:val="24"/>
              </w:rPr>
              <w:t>□电话会议</w:t>
            </w:r>
          </w:p>
          <w:p w14:paraId="6092CFD7">
            <w:pPr>
              <w:widowControl/>
              <w:kinsoku w:val="0"/>
              <w:autoSpaceDE w:val="0"/>
              <w:autoSpaceDN w:val="0"/>
              <w:adjustRightInd w:val="0"/>
              <w:snapToGrid w:val="0"/>
              <w:spacing w:before="186"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 xml:space="preserve">□其他  (请文字说明其他活动内容) </w:t>
            </w:r>
          </w:p>
        </w:tc>
      </w:tr>
      <w:tr w14:paraId="1947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258" w:type="dxa"/>
            <w:vAlign w:val="center"/>
          </w:tcPr>
          <w:p w14:paraId="54025481">
            <w:pPr>
              <w:widowControl/>
              <w:kinsoku w:val="0"/>
              <w:autoSpaceDE w:val="0"/>
              <w:autoSpaceDN w:val="0"/>
              <w:adjustRightInd w:val="0"/>
              <w:snapToGrid w:val="0"/>
              <w:spacing w:before="38"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参与单位名称及人员姓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7870C522">
            <w:pPr>
              <w:widowControl/>
              <w:kinsoku w:val="0"/>
              <w:autoSpaceDE w:val="0"/>
              <w:autoSpaceDN w:val="0"/>
              <w:adjustRightInd w:val="0"/>
              <w:snapToGrid w:val="0"/>
              <w:spacing w:before="156" w:beforeLines="50" w:line="360" w:lineRule="auto"/>
              <w:ind w:left="105" w:leftChars="50" w:right="105" w:rightChars="50"/>
              <w:textAlignment w:val="baseline"/>
              <w:rPr>
                <w:rFonts w:ascii="宋体" w:hAnsi="宋体" w:cs="Arial"/>
                <w:snapToGrid w:val="0"/>
                <w:color w:val="000000"/>
                <w:kern w:val="0"/>
                <w:sz w:val="24"/>
              </w:rPr>
            </w:pPr>
            <w:r>
              <w:rPr>
                <w:rFonts w:hint="eastAsia" w:ascii="宋体" w:hAnsi="宋体" w:cs="Arial"/>
                <w:snapToGrid w:val="0"/>
                <w:color w:val="000000"/>
                <w:kern w:val="0"/>
                <w:sz w:val="24"/>
              </w:rPr>
              <w:t>山东融鑫投资股份有限公司 宋磊宏、汤万全</w:t>
            </w:r>
          </w:p>
        </w:tc>
      </w:tr>
      <w:tr w14:paraId="3B4B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6A35814E">
            <w:pPr>
              <w:widowControl/>
              <w:kinsoku w:val="0"/>
              <w:autoSpaceDE w:val="0"/>
              <w:autoSpaceDN w:val="0"/>
              <w:adjustRightInd w:val="0"/>
              <w:snapToGrid w:val="0"/>
              <w:spacing w:before="38"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议时间</w:t>
            </w:r>
          </w:p>
        </w:tc>
        <w:tc>
          <w:tcPr>
            <w:tcW w:w="6095" w:type="dxa"/>
            <w:vAlign w:val="center"/>
          </w:tcPr>
          <w:p w14:paraId="21AE6B00">
            <w:pPr>
              <w:widowControl/>
              <w:kinsoku w:val="0"/>
              <w:autoSpaceDE w:val="0"/>
              <w:autoSpaceDN w:val="0"/>
              <w:adjustRightInd w:val="0"/>
              <w:snapToGrid w:val="0"/>
              <w:spacing w:before="156" w:beforeLines="50"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5</w:t>
            </w:r>
            <w:r>
              <w:rPr>
                <w:rFonts w:ascii="宋体" w:hAnsi="宋体"/>
                <w:snapToGrid w:val="0"/>
                <w:color w:val="000000"/>
                <w:spacing w:val="7"/>
                <w:kern w:val="0"/>
                <w:sz w:val="24"/>
              </w:rPr>
              <w:t>月</w:t>
            </w:r>
            <w:r>
              <w:rPr>
                <w:rFonts w:hint="eastAsia" w:ascii="宋体" w:hAnsi="宋体"/>
                <w:snapToGrid w:val="0"/>
                <w:color w:val="000000"/>
                <w:spacing w:val="7"/>
                <w:kern w:val="0"/>
                <w:sz w:val="24"/>
              </w:rPr>
              <w:t>28</w:t>
            </w:r>
            <w:r>
              <w:rPr>
                <w:rFonts w:ascii="宋体" w:hAnsi="宋体"/>
                <w:snapToGrid w:val="0"/>
                <w:color w:val="000000"/>
                <w:spacing w:val="7"/>
                <w:kern w:val="0"/>
                <w:sz w:val="24"/>
              </w:rPr>
              <w:t>日</w:t>
            </w:r>
          </w:p>
        </w:tc>
      </w:tr>
      <w:tr w14:paraId="5164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5D89E0A1">
            <w:pPr>
              <w:widowControl/>
              <w:kinsoku w:val="0"/>
              <w:autoSpaceDE w:val="0"/>
              <w:autoSpaceDN w:val="0"/>
              <w:adjustRightInd w:val="0"/>
              <w:snapToGrid w:val="0"/>
              <w:spacing w:before="36"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议地点</w:t>
            </w:r>
          </w:p>
        </w:tc>
        <w:tc>
          <w:tcPr>
            <w:tcW w:w="6095" w:type="dxa"/>
            <w:vAlign w:val="center"/>
          </w:tcPr>
          <w:p w14:paraId="0D7B61D3">
            <w:pPr>
              <w:widowControl/>
              <w:kinsoku w:val="0"/>
              <w:autoSpaceDE w:val="0"/>
              <w:autoSpaceDN w:val="0"/>
              <w:adjustRightInd w:val="0"/>
              <w:snapToGrid w:val="0"/>
              <w:spacing w:before="156" w:beforeLines="50"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江苏扬子江国际化学工业园东海路1号</w:t>
            </w:r>
          </w:p>
        </w:tc>
      </w:tr>
      <w:tr w14:paraId="2802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3258" w:type="dxa"/>
            <w:vAlign w:val="center"/>
          </w:tcPr>
          <w:p w14:paraId="198BD9E5">
            <w:pPr>
              <w:widowControl/>
              <w:kinsoku w:val="0"/>
              <w:autoSpaceDE w:val="0"/>
              <w:autoSpaceDN w:val="0"/>
              <w:adjustRightInd w:val="0"/>
              <w:snapToGrid w:val="0"/>
              <w:spacing w:before="37"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上市公司接待人员姓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4888D15D">
            <w:pPr>
              <w:widowControl/>
              <w:kinsoku w:val="0"/>
              <w:autoSpaceDE w:val="0"/>
              <w:autoSpaceDN w:val="0"/>
              <w:adjustRightInd w:val="0"/>
              <w:snapToGrid w:val="0"/>
              <w:spacing w:before="186"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董事、总经理：李寅</w:t>
            </w:r>
          </w:p>
          <w:p w14:paraId="6FEE6769">
            <w:pPr>
              <w:widowControl/>
              <w:kinsoku w:val="0"/>
              <w:autoSpaceDE w:val="0"/>
              <w:autoSpaceDN w:val="0"/>
              <w:adjustRightInd w:val="0"/>
              <w:snapToGrid w:val="0"/>
              <w:spacing w:before="186"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证券部：张可</w:t>
            </w:r>
          </w:p>
        </w:tc>
      </w:tr>
      <w:tr w14:paraId="0D5B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jc w:val="center"/>
        </w:trPr>
        <w:tc>
          <w:tcPr>
            <w:tcW w:w="3258" w:type="dxa"/>
            <w:vAlign w:val="center"/>
          </w:tcPr>
          <w:p w14:paraId="760E0EAE">
            <w:pPr>
              <w:widowControl/>
              <w:kinsoku w:val="0"/>
              <w:autoSpaceDE w:val="0"/>
              <w:autoSpaceDN w:val="0"/>
              <w:adjustRightInd w:val="0"/>
              <w:snapToGrid w:val="0"/>
              <w:spacing w:before="75" w:line="227" w:lineRule="auto"/>
              <w:ind w:left="324"/>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投资者关系活动主要内容介</w:t>
            </w:r>
            <w:r>
              <w:rPr>
                <w:rFonts w:ascii="宋体" w:hAnsi="宋体"/>
                <w:snapToGrid w:val="0"/>
                <w:color w:val="000000"/>
                <w:spacing w:val="9"/>
                <w:kern w:val="0"/>
                <w:sz w:val="24"/>
                <w14:textOutline w14:w="4356" w14:cap="sq" w14:cmpd="sng" w14:algn="ctr">
                  <w14:solidFill>
                    <w14:srgbClr w14:val="000000"/>
                  </w14:solidFill>
                  <w14:prstDash w14:val="solid"/>
                  <w14:bevel/>
                </w14:textOutline>
              </w:rPr>
              <w:t>绍</w:t>
            </w:r>
          </w:p>
        </w:tc>
        <w:tc>
          <w:tcPr>
            <w:tcW w:w="6095" w:type="dxa"/>
            <w:vAlign w:val="center"/>
          </w:tcPr>
          <w:p w14:paraId="145616E9">
            <w:pPr>
              <w:pStyle w:val="10"/>
              <w:widowControl/>
              <w:spacing w:before="156" w:after="156"/>
              <w:ind w:left="105" w:leftChars="50" w:right="105" w:rightChars="50" w:firstLine="510"/>
              <w:rPr>
                <w:rFonts w:ascii="宋体" w:hAnsi="宋体"/>
                <w:b/>
                <w:snapToGrid w:val="0"/>
                <w:color w:val="000000"/>
                <w:spacing w:val="7"/>
                <w:kern w:val="0"/>
              </w:rPr>
            </w:pPr>
            <w:r>
              <w:rPr>
                <w:rFonts w:hint="eastAsia" w:ascii="宋体" w:hAnsi="宋体"/>
                <w:b/>
                <w:snapToGrid w:val="0"/>
                <w:color w:val="000000"/>
                <w:spacing w:val="7"/>
                <w:kern w:val="0"/>
              </w:rPr>
              <w:t>问1：</w:t>
            </w:r>
            <w:r>
              <w:rPr>
                <w:rFonts w:hint="eastAsia" w:ascii="宋体" w:hAnsi="宋体"/>
                <w:b/>
                <w:bCs/>
                <w:snapToGrid w:val="0"/>
                <w:color w:val="000000"/>
                <w:spacing w:val="7"/>
                <w:kern w:val="0"/>
              </w:rPr>
              <w:t>请介绍一下公司主营业务与产品情况。</w:t>
            </w:r>
          </w:p>
          <w:p w14:paraId="775C6516">
            <w:pPr>
              <w:spacing w:before="156" w:beforeLines="50" w:line="360" w:lineRule="auto"/>
              <w:ind w:left="105" w:leftChars="50" w:right="105" w:rightChars="50" w:firstLine="510" w:firstLineChars="200"/>
              <w:rPr>
                <w:rFonts w:ascii="宋体" w:hAnsi="宋体"/>
                <w:shd w:val="clear" w:color="auto" w:fill="FFFFFF"/>
              </w:rPr>
            </w:pPr>
            <w:r>
              <w:rPr>
                <w:rFonts w:hint="eastAsia" w:ascii="宋体" w:hAnsi="宋体"/>
                <w:b/>
                <w:snapToGrid w:val="0"/>
                <w:color w:val="000000"/>
                <w:spacing w:val="7"/>
                <w:kern w:val="0"/>
                <w:sz w:val="24"/>
              </w:rPr>
              <w:t>答1：</w:t>
            </w:r>
            <w:r>
              <w:rPr>
                <w:rFonts w:hint="eastAsia"/>
                <w:sz w:val="24"/>
              </w:rPr>
              <w:t>公司是国内废弃资源综合利用领域第一梯队的高新技术企业，公司主营业务以废弃油脂资源综合利用业务为主，油脂化学品业务为辅，主要产品为生物燃料、生物基材料和油脂化学品。生物基材料主要为农药助剂、化肥助剂等生物柴油配方产品和工业级混合油；生物燃料主要为生物柴油；油脂化学品业务主要产品为DD油、脂肪酸等。</w:t>
            </w:r>
          </w:p>
          <w:p w14:paraId="7C34281A">
            <w:pPr>
              <w:pStyle w:val="10"/>
              <w:widowControl/>
              <w:spacing w:before="156" w:after="156"/>
              <w:ind w:left="105" w:leftChars="50" w:right="105" w:rightChars="50" w:firstLine="510"/>
              <w:rPr>
                <w:rFonts w:ascii="宋体" w:hAnsi="宋体"/>
                <w:b/>
                <w:snapToGrid w:val="0"/>
                <w:color w:val="000000"/>
                <w:spacing w:val="7"/>
                <w:kern w:val="0"/>
              </w:rPr>
            </w:pPr>
            <w:r>
              <w:rPr>
                <w:rFonts w:hint="eastAsia" w:ascii="宋体" w:hAnsi="宋体"/>
                <w:b/>
                <w:snapToGrid w:val="0"/>
                <w:color w:val="000000"/>
                <w:spacing w:val="7"/>
                <w:kern w:val="0"/>
              </w:rPr>
              <w:t>问2：请介绍一下公司生物基材料具体有哪些产品和优势。</w:t>
            </w:r>
          </w:p>
          <w:p w14:paraId="068C9C0A">
            <w:pPr>
              <w:spacing w:before="156" w:beforeLines="50" w:line="360" w:lineRule="auto"/>
              <w:ind w:left="105" w:leftChars="50" w:right="105" w:rightChars="50" w:firstLine="510" w:firstLineChars="200"/>
              <w:rPr>
                <w:sz w:val="24"/>
                <w:shd w:val="clear" w:color="auto" w:fill="FFFFFF"/>
              </w:rPr>
            </w:pPr>
            <w:r>
              <w:rPr>
                <w:rFonts w:hint="eastAsia" w:ascii="宋体" w:hAnsi="宋体"/>
                <w:b/>
                <w:snapToGrid w:val="0"/>
                <w:color w:val="000000"/>
                <w:spacing w:val="7"/>
                <w:kern w:val="0"/>
                <w:sz w:val="24"/>
              </w:rPr>
              <w:t>答2</w:t>
            </w:r>
            <w:bookmarkStart w:id="1" w:name="_Hlk136369761"/>
            <w:r>
              <w:rPr>
                <w:rFonts w:hint="eastAsia" w:ascii="宋体" w:hAnsi="宋体"/>
                <w:b/>
                <w:snapToGrid w:val="0"/>
                <w:color w:val="000000"/>
                <w:spacing w:val="7"/>
                <w:kern w:val="0"/>
                <w:sz w:val="24"/>
              </w:rPr>
              <w:t>：</w:t>
            </w:r>
            <w:bookmarkEnd w:id="1"/>
            <w:r>
              <w:rPr>
                <w:rFonts w:hint="eastAsia"/>
                <w:sz w:val="24"/>
                <w:shd w:val="clear" w:color="auto" w:fill="FFFFFF"/>
              </w:rPr>
              <w:t>公司生物基材料业务主要包括工业级混合油、农药助剂、化肥助剂等。公司依托多年油脂行业实践经验与研发技术，将生物柴油下游应用的深度不断拓展，将生物柴油作为中间体复配成助剂类产品，应用到农药、化肥、</w:t>
            </w:r>
            <w:r>
              <w:rPr>
                <w:rFonts w:ascii="宋体" w:hAnsi="宋体"/>
                <w:sz w:val="24"/>
              </w:rPr>
              <w:t>煤泥浮选、沥青、油墨、</w:t>
            </w:r>
            <w:r>
              <w:rPr>
                <w:rFonts w:hint="eastAsia" w:ascii="宋体" w:hAnsi="宋体"/>
                <w:sz w:val="24"/>
              </w:rPr>
              <w:t>钻井</w:t>
            </w:r>
            <w:r>
              <w:rPr>
                <w:rFonts w:hint="eastAsia"/>
                <w:sz w:val="24"/>
                <w:shd w:val="clear" w:color="auto" w:fill="FFFFFF"/>
              </w:rPr>
              <w:t>等助剂产品领域。</w:t>
            </w:r>
          </w:p>
          <w:p w14:paraId="02F30CC3">
            <w:pPr>
              <w:spacing w:before="156" w:beforeLines="50" w:line="360" w:lineRule="auto"/>
              <w:ind w:left="105" w:leftChars="50" w:right="105" w:rightChars="50" w:firstLine="480" w:firstLineChars="200"/>
              <w:rPr>
                <w:sz w:val="24"/>
              </w:rPr>
            </w:pPr>
            <w:r>
              <w:rPr>
                <w:rFonts w:hint="eastAsia"/>
                <w:sz w:val="24"/>
              </w:rPr>
              <w:t>公司农药助剂主要为以非食用油脂为原料制备的油酸甲酯型农药助剂，在农药领域可代替传统的化石基农药助剂，发挥溶解、增效、分散的作用。较传统的芳烃类溶剂，公司生产的农药助剂无毒害、易生物降解，且与作物亲和性更高、渗透性及附着性更强，符合我国农药产业无害化、高质量发展的要求。此外，公司深耕农药助剂领域多年，积累了良好的口碑，品牌效应逐年增强，亦使得农药助剂收入逐年稳定增长。</w:t>
            </w:r>
          </w:p>
          <w:p w14:paraId="4FA278DF">
            <w:pPr>
              <w:spacing w:before="156" w:beforeLines="50" w:line="360" w:lineRule="auto"/>
              <w:ind w:left="105" w:leftChars="50" w:right="105" w:rightChars="50" w:firstLine="480" w:firstLineChars="200"/>
              <w:rPr>
                <w:sz w:val="24"/>
              </w:rPr>
            </w:pPr>
            <w:r>
              <w:rPr>
                <w:rFonts w:hint="eastAsia"/>
                <w:sz w:val="24"/>
              </w:rPr>
              <w:t>公司凭借生物柴油优良特性与研发实力，继续拓展在</w:t>
            </w:r>
            <w:r>
              <w:rPr>
                <w:rFonts w:ascii="宋体" w:hAnsi="宋体"/>
                <w:sz w:val="24"/>
              </w:rPr>
              <w:t>煤泥浮选（捕收剂、起泡剂）、沥青（</w:t>
            </w:r>
            <w:r>
              <w:rPr>
                <w:rFonts w:hint="eastAsia" w:ascii="宋体" w:hAnsi="宋体"/>
                <w:sz w:val="24"/>
              </w:rPr>
              <w:t>增延剂</w:t>
            </w:r>
            <w:r>
              <w:rPr>
                <w:rFonts w:ascii="宋体" w:hAnsi="宋体"/>
                <w:sz w:val="24"/>
              </w:rPr>
              <w:t>）、油墨（</w:t>
            </w:r>
            <w:r>
              <w:rPr>
                <w:rFonts w:hint="eastAsia" w:ascii="宋体" w:hAnsi="宋体"/>
                <w:sz w:val="24"/>
              </w:rPr>
              <w:t>连接料</w:t>
            </w:r>
            <w:r>
              <w:rPr>
                <w:rFonts w:ascii="宋体" w:hAnsi="宋体"/>
                <w:sz w:val="24"/>
              </w:rPr>
              <w:t>）</w:t>
            </w:r>
            <w:r>
              <w:rPr>
                <w:rFonts w:hint="eastAsia" w:ascii="宋体" w:hAnsi="宋体"/>
                <w:sz w:val="24"/>
              </w:rPr>
              <w:t>、钻井（润滑剂）</w:t>
            </w:r>
            <w:r>
              <w:rPr>
                <w:rFonts w:hint="eastAsia"/>
                <w:sz w:val="24"/>
              </w:rPr>
              <w:t>等细分领域的应用。未来公司将进一步扩大销售与研发团队，提升团队素养和技术支持，逐步提升细分领域生物基材料的销量与产品竞争力。</w:t>
            </w:r>
          </w:p>
          <w:p w14:paraId="60285805">
            <w:pPr>
              <w:pStyle w:val="10"/>
              <w:spacing w:before="156" w:after="156"/>
              <w:ind w:left="105" w:leftChars="50" w:right="105" w:rightChars="50" w:firstLine="510"/>
              <w:rPr>
                <w:rFonts w:ascii="宋体" w:hAnsi="宋体"/>
                <w:b/>
                <w:snapToGrid w:val="0"/>
                <w:color w:val="000000"/>
                <w:spacing w:val="7"/>
                <w:kern w:val="0"/>
              </w:rPr>
            </w:pPr>
            <w:r>
              <w:rPr>
                <w:rFonts w:hint="eastAsia" w:ascii="宋体" w:hAnsi="宋体"/>
                <w:b/>
                <w:snapToGrid w:val="0"/>
                <w:color w:val="000000"/>
                <w:spacing w:val="7"/>
                <w:kern w:val="0"/>
              </w:rPr>
              <w:t>问3：请介绍一下公司工业级混合油的产品优势以及增长的原因。</w:t>
            </w:r>
          </w:p>
          <w:p w14:paraId="164DBD4E">
            <w:pPr>
              <w:spacing w:before="156" w:beforeLines="50" w:line="360" w:lineRule="auto"/>
              <w:ind w:left="105" w:leftChars="50" w:right="105" w:rightChars="50" w:firstLine="510" w:firstLineChars="200"/>
              <w:rPr>
                <w:rFonts w:ascii="宋体" w:hAnsi="宋体"/>
                <w:bCs/>
                <w:snapToGrid w:val="0"/>
                <w:color w:val="000000"/>
                <w:spacing w:val="7"/>
                <w:kern w:val="0"/>
                <w:sz w:val="24"/>
              </w:rPr>
            </w:pPr>
            <w:r>
              <w:rPr>
                <w:rFonts w:hint="eastAsia" w:ascii="宋体" w:hAnsi="宋体"/>
                <w:b/>
                <w:snapToGrid w:val="0"/>
                <w:color w:val="000000"/>
                <w:spacing w:val="7"/>
                <w:kern w:val="0"/>
                <w:sz w:val="24"/>
              </w:rPr>
              <w:t>答3：</w:t>
            </w:r>
            <w:r>
              <w:rPr>
                <w:rFonts w:hint="eastAsia" w:ascii="宋体" w:hAnsi="宋体"/>
                <w:bCs/>
                <w:snapToGrid w:val="0"/>
                <w:color w:val="000000"/>
                <w:spacing w:val="7"/>
                <w:kern w:val="0"/>
                <w:sz w:val="24"/>
              </w:rPr>
              <w:t>全球SAF兴起驱动原料需求增长，</w:t>
            </w:r>
            <w:r>
              <w:rPr>
                <w:rFonts w:hint="eastAsia"/>
                <w:sz w:val="24"/>
                <w:shd w:val="clear" w:color="auto" w:fill="FFFFFF"/>
              </w:rPr>
              <w:t>公司工业级混合油业务以废弃油脂为原料，通过加工得到工业级使用标准的产品，可用于生产生物柴油、生物航煤等再生燃料。</w:t>
            </w:r>
            <w:r>
              <w:rPr>
                <w:rFonts w:hint="eastAsia"/>
                <w:sz w:val="24"/>
              </w:rPr>
              <w:t>为满足下游</w:t>
            </w:r>
            <w:r>
              <w:rPr>
                <w:rFonts w:hint="default" w:ascii="宋体" w:hAnsi="宋体" w:cs="Times New Roman"/>
                <w:sz w:val="24"/>
              </w:rPr>
              <w:t>SAF</w:t>
            </w:r>
            <w:r>
              <w:rPr>
                <w:rFonts w:hint="eastAsia"/>
                <w:sz w:val="24"/>
              </w:rPr>
              <w:t>厂商对工业级混合油的指标要求，公司基于自身生产技术优势，在生产工艺方面通过胶质预处理与金属离子深度螯合净化集成工艺</w:t>
            </w:r>
            <w:r>
              <w:rPr>
                <w:rFonts w:hint="eastAsia" w:ascii="宋体" w:hAnsi="宋体"/>
                <w:sz w:val="24"/>
              </w:rPr>
              <w:t>，实现工业级混合油的品质提升，</w:t>
            </w:r>
            <w:r>
              <w:rPr>
                <w:rFonts w:hint="eastAsia"/>
                <w:sz w:val="24"/>
              </w:rPr>
              <w:t>将非金属离子和金属离子含量控制达到</w:t>
            </w:r>
            <w:r>
              <w:rPr>
                <w:rFonts w:hint="eastAsia" w:ascii="宋体" w:hAnsi="宋体"/>
                <w:sz w:val="24"/>
              </w:rPr>
              <w:t>ppm</w:t>
            </w:r>
            <w:r>
              <w:rPr>
                <w:rFonts w:hint="eastAsia"/>
                <w:sz w:val="24"/>
              </w:rPr>
              <w:t>级别。公司是具备可生产直接应用至加氢脱氧等核心工段的规模化工业级混合油生产企业之一。</w:t>
            </w:r>
          </w:p>
          <w:p w14:paraId="5265F82B">
            <w:pPr>
              <w:pStyle w:val="10"/>
              <w:widowControl/>
              <w:spacing w:before="156" w:after="156"/>
              <w:ind w:left="105" w:leftChars="50" w:right="105" w:rightChars="50" w:firstLine="510"/>
              <w:rPr>
                <w:rFonts w:ascii="宋体" w:hAnsi="宋体"/>
                <w:b/>
                <w:bCs/>
                <w:snapToGrid w:val="0"/>
                <w:color w:val="000000"/>
                <w:spacing w:val="7"/>
                <w:kern w:val="0"/>
              </w:rPr>
            </w:pPr>
            <w:r>
              <w:rPr>
                <w:rFonts w:hint="eastAsia" w:ascii="宋体" w:hAnsi="宋体"/>
                <w:b/>
                <w:snapToGrid w:val="0"/>
                <w:color w:val="000000"/>
                <w:spacing w:val="7"/>
                <w:kern w:val="0"/>
              </w:rPr>
              <w:t>问4：请介绍一下欧盟关于SAF有哪些添加政策。</w:t>
            </w:r>
          </w:p>
          <w:p w14:paraId="2CEE7632">
            <w:pPr>
              <w:pStyle w:val="10"/>
              <w:spacing w:before="156" w:after="156"/>
              <w:ind w:left="105" w:leftChars="50" w:right="105" w:rightChars="50" w:firstLine="510"/>
              <w:rPr>
                <w:rStyle w:val="11"/>
                <w:rFonts w:ascii="宋体" w:hAnsi="宋体"/>
                <w:bCs/>
                <w:color w:val="auto"/>
              </w:rPr>
            </w:pPr>
            <w:r>
              <w:rPr>
                <w:rFonts w:hint="eastAsia" w:ascii="宋体" w:hAnsi="宋体"/>
                <w:b/>
                <w:snapToGrid w:val="0"/>
                <w:color w:val="000000"/>
                <w:spacing w:val="7"/>
                <w:kern w:val="0"/>
              </w:rPr>
              <w:t>答4：</w:t>
            </w:r>
            <w:r>
              <w:rPr>
                <w:rFonts w:hint="eastAsia" w:ascii="宋体" w:hAnsi="宋体"/>
                <w:snapToGrid w:val="0"/>
                <w:color w:val="000000"/>
                <w:spacing w:val="7"/>
                <w:kern w:val="0"/>
                <w:lang w:val="en-US" w:eastAsia="zh-CN"/>
              </w:rPr>
              <w:t>SAF按比例添加可以有效降低航空业的碳排放，是航空业脱碳进程的重要路径之一。</w:t>
            </w:r>
            <w:r>
              <w:rPr>
                <w:rFonts w:hint="eastAsia" w:ascii="宋体" w:hAnsi="宋体"/>
                <w:b w:val="0"/>
                <w:bCs/>
                <w:snapToGrid w:val="0"/>
                <w:color w:val="000000"/>
                <w:spacing w:val="7"/>
                <w:kern w:val="0"/>
                <w:lang w:val="en-US" w:eastAsia="zh-CN"/>
              </w:rPr>
              <w:t>根据</w:t>
            </w:r>
            <w:r>
              <w:rPr>
                <w:rFonts w:hint="eastAsia" w:ascii="宋体" w:hAnsi="宋体"/>
                <w:snapToGrid w:val="0"/>
                <w:color w:val="000000"/>
                <w:spacing w:val="7"/>
                <w:kern w:val="0"/>
              </w:rPr>
              <w:t>欧盟</w:t>
            </w:r>
            <w:r>
              <w:rPr>
                <w:rFonts w:hint="default" w:ascii="Times New Roman" w:hAnsi="Times New Roman" w:eastAsia="宋体" w:cs="Times New Roman"/>
                <w:b w:val="0"/>
                <w:bCs w:val="0"/>
                <w:i w:val="0"/>
                <w:iCs w:val="0"/>
                <w:caps w:val="0"/>
                <w:color w:val="333333"/>
                <w:spacing w:val="0"/>
                <w:sz w:val="24"/>
                <w:szCs w:val="24"/>
                <w:shd w:val="clear" w:fill="FFFFFF"/>
              </w:rPr>
              <w:t>ReFuelEU Aviation</w:t>
            </w:r>
            <w:r>
              <w:rPr>
                <w:rFonts w:hint="eastAsia" w:cs="Times New Roman"/>
                <w:b w:val="0"/>
                <w:bCs w:val="0"/>
                <w:i w:val="0"/>
                <w:iCs w:val="0"/>
                <w:caps w:val="0"/>
                <w:color w:val="333333"/>
                <w:spacing w:val="0"/>
                <w:sz w:val="24"/>
                <w:szCs w:val="24"/>
                <w:shd w:val="clear" w:fill="FFFFFF"/>
                <w:lang w:val="en-US" w:eastAsia="zh-CN"/>
              </w:rPr>
              <w:t>法规</w:t>
            </w:r>
            <w:r>
              <w:rPr>
                <w:rFonts w:hint="eastAsia" w:ascii="宋体" w:hAnsi="宋体"/>
                <w:snapToGrid w:val="0"/>
                <w:color w:val="000000"/>
                <w:spacing w:val="7"/>
                <w:kern w:val="0"/>
              </w:rPr>
              <w:t>，</w:t>
            </w:r>
            <w:r>
              <w:rPr>
                <w:rFonts w:hint="eastAsia" w:ascii="宋体" w:hAnsi="宋体"/>
                <w:snapToGrid w:val="0"/>
                <w:color w:val="000000"/>
                <w:spacing w:val="7"/>
                <w:kern w:val="0"/>
                <w:lang w:val="en-US" w:eastAsia="zh-CN"/>
              </w:rPr>
              <w:t>欧盟SAF掺混政策于2025年开始实施，规定到</w:t>
            </w:r>
            <w:r>
              <w:rPr>
                <w:rFonts w:hint="eastAsia" w:ascii="宋体" w:hAnsi="宋体"/>
                <w:bCs/>
                <w:snapToGrid w:val="0"/>
                <w:color w:val="000000"/>
                <w:spacing w:val="7"/>
                <w:kern w:val="0"/>
                <w:sz w:val="24"/>
                <w:szCs w:val="21"/>
              </w:rPr>
              <w:t>2030年</w:t>
            </w:r>
            <w:r>
              <w:rPr>
                <w:rFonts w:hint="eastAsia" w:ascii="宋体" w:hAnsi="宋体"/>
                <w:bCs/>
                <w:snapToGrid w:val="0"/>
                <w:color w:val="000000"/>
                <w:spacing w:val="7"/>
                <w:kern w:val="0"/>
                <w:sz w:val="24"/>
                <w:szCs w:val="21"/>
                <w:lang w:val="en-US" w:eastAsia="zh-CN"/>
              </w:rPr>
              <w:t>SAF掺混比例为</w:t>
            </w:r>
            <w:r>
              <w:rPr>
                <w:rFonts w:hint="eastAsia" w:ascii="宋体" w:hAnsi="宋体"/>
                <w:bCs/>
                <w:snapToGrid w:val="0"/>
                <w:color w:val="000000"/>
                <w:spacing w:val="7"/>
                <w:kern w:val="0"/>
                <w:sz w:val="24"/>
                <w:szCs w:val="21"/>
              </w:rPr>
              <w:t>6%，</w:t>
            </w:r>
            <w:r>
              <w:rPr>
                <w:rFonts w:hint="eastAsia" w:ascii="宋体" w:hAnsi="宋体"/>
                <w:bCs/>
                <w:snapToGrid w:val="0"/>
                <w:color w:val="000000"/>
                <w:spacing w:val="7"/>
                <w:kern w:val="0"/>
                <w:sz w:val="24"/>
                <w:szCs w:val="21"/>
                <w:lang w:val="en-US" w:eastAsia="zh-CN"/>
              </w:rPr>
              <w:t>并于</w:t>
            </w:r>
            <w:r>
              <w:rPr>
                <w:rFonts w:hint="eastAsia" w:ascii="宋体" w:hAnsi="宋体"/>
                <w:bCs/>
                <w:snapToGrid w:val="0"/>
                <w:color w:val="auto"/>
                <w:spacing w:val="7"/>
                <w:kern w:val="0"/>
                <w:sz w:val="24"/>
                <w:szCs w:val="21"/>
              </w:rPr>
              <w:t>2050年</w:t>
            </w:r>
            <w:r>
              <w:rPr>
                <w:rFonts w:hint="eastAsia" w:ascii="宋体" w:hAnsi="宋体"/>
                <w:bCs/>
                <w:snapToGrid w:val="0"/>
                <w:color w:val="auto"/>
                <w:spacing w:val="7"/>
                <w:kern w:val="0"/>
                <w:sz w:val="24"/>
                <w:szCs w:val="21"/>
                <w:lang w:val="en-US" w:eastAsia="zh-CN"/>
              </w:rPr>
              <w:t>将SAF掺混比例</w:t>
            </w:r>
            <w:r>
              <w:rPr>
                <w:rFonts w:hint="eastAsia" w:ascii="宋体" w:hAnsi="宋体"/>
                <w:bCs/>
                <w:snapToGrid w:val="0"/>
                <w:color w:val="auto"/>
                <w:spacing w:val="7"/>
                <w:kern w:val="0"/>
                <w:sz w:val="24"/>
                <w:szCs w:val="21"/>
              </w:rPr>
              <w:t>提升至70%。</w:t>
            </w:r>
          </w:p>
          <w:p w14:paraId="0E5DCF06">
            <w:pPr>
              <w:widowControl/>
              <w:autoSpaceDE w:val="0"/>
              <w:autoSpaceDN w:val="0"/>
              <w:adjustRightInd w:val="0"/>
              <w:snapToGrid w:val="0"/>
              <w:spacing w:before="156" w:beforeLines="50" w:line="360" w:lineRule="auto"/>
              <w:ind w:left="105" w:leftChars="50" w:right="105" w:rightChars="50" w:firstLine="510" w:firstLineChars="200"/>
              <w:textAlignment w:val="baseline"/>
              <w:rPr>
                <w:rStyle w:val="11"/>
                <w:rFonts w:ascii="宋体" w:hAnsi="宋体"/>
                <w:b/>
              </w:rPr>
            </w:pPr>
            <w:r>
              <w:rPr>
                <w:rFonts w:hint="eastAsia" w:ascii="宋体" w:hAnsi="宋体"/>
                <w:b/>
                <w:snapToGrid w:val="0"/>
                <w:color w:val="000000"/>
                <w:spacing w:val="7"/>
                <w:kern w:val="0"/>
                <w:sz w:val="24"/>
              </w:rPr>
              <w:t>问5:请介绍一下欧盟关于生物燃料有哪些添加政策。</w:t>
            </w:r>
          </w:p>
          <w:p w14:paraId="5C5A137A">
            <w:pPr>
              <w:widowControl/>
              <w:autoSpaceDE w:val="0"/>
              <w:autoSpaceDN w:val="0"/>
              <w:adjustRightInd w:val="0"/>
              <w:snapToGrid w:val="0"/>
              <w:spacing w:before="156" w:beforeLines="50" w:line="360" w:lineRule="auto"/>
              <w:ind w:left="105" w:leftChars="50" w:right="105" w:rightChars="50" w:firstLine="510" w:firstLineChars="200"/>
              <w:textAlignment w:val="baseline"/>
              <w:rPr>
                <w:rFonts w:hint="eastAsia" w:ascii="Times New Roman" w:hAnsi="Times New Roman" w:eastAsia="宋体" w:cs="Times New Roman"/>
                <w:sz w:val="24"/>
                <w:lang w:eastAsia="zh-CN"/>
              </w:rPr>
            </w:pPr>
            <w:r>
              <w:rPr>
                <w:rFonts w:hint="eastAsia" w:ascii="宋体" w:hAnsi="宋体"/>
                <w:b/>
                <w:snapToGrid w:val="0"/>
                <w:color w:val="000000"/>
                <w:spacing w:val="7"/>
                <w:kern w:val="0"/>
                <w:sz w:val="24"/>
              </w:rPr>
              <w:t>答5：</w:t>
            </w:r>
            <w:r>
              <w:rPr>
                <w:rFonts w:hint="eastAsia"/>
                <w:sz w:val="24"/>
                <w:shd w:val="clear" w:color="auto" w:fill="FFFFFF"/>
              </w:rPr>
              <w:t>生物柴油作为一种环保可再生能源，在交通领域的碳减排效果显著，是道路交通和船舶航运重要减碳方案之一。在多国政策的推动下，全球生物柴油消费量呈现逐年增长态势。目前欧盟是生物柴油的主要</w:t>
            </w:r>
            <w:r>
              <w:rPr>
                <w:rFonts w:hint="eastAsia" w:ascii="宋体" w:hAnsi="宋体"/>
                <w:sz w:val="24"/>
                <w:shd w:val="clear" w:color="auto" w:fill="FFFFFF"/>
              </w:rPr>
              <w:t>消费地区，</w:t>
            </w:r>
            <w:r>
              <w:rPr>
                <w:rFonts w:hint="eastAsia" w:ascii="宋体" w:hAnsi="宋体"/>
                <w:snapToGrid w:val="0"/>
                <w:color w:val="000000"/>
                <w:spacing w:val="7"/>
                <w:sz w:val="24"/>
              </w:rPr>
              <w:t>根据欧盟</w:t>
            </w:r>
            <w:r>
              <w:rPr>
                <w:rFonts w:hint="eastAsia" w:ascii="宋体" w:hAnsi="宋体"/>
                <w:sz w:val="24"/>
              </w:rPr>
              <w:t>《可再生能源指</w:t>
            </w:r>
            <w:r>
              <w:rPr>
                <w:rFonts w:ascii="Times New Roman" w:hAnsi="Times New Roman" w:cs="Times New Roman"/>
                <w:sz w:val="24"/>
              </w:rPr>
              <w:t>令III》（RED III），要求2030年</w:t>
            </w:r>
            <w:r>
              <w:rPr>
                <w:rFonts w:hint="eastAsia" w:ascii="Times New Roman" w:hAnsi="Times New Roman" w:cs="Times New Roman"/>
                <w:sz w:val="24"/>
                <w:lang w:val="en-US" w:eastAsia="zh-CN"/>
              </w:rPr>
              <w:t>可再生能源目标比例提升至45%，其中</w:t>
            </w:r>
            <w:r>
              <w:rPr>
                <w:rFonts w:ascii="Times New Roman" w:hAnsi="Times New Roman" w:cs="Times New Roman"/>
                <w:sz w:val="24"/>
              </w:rPr>
              <w:t>交通领域可再生能源</w:t>
            </w:r>
            <w:r>
              <w:rPr>
                <w:rFonts w:hint="eastAsia" w:ascii="Times New Roman" w:hAnsi="Times New Roman" w:cs="Times New Roman"/>
                <w:sz w:val="24"/>
                <w:lang w:val="en-US" w:eastAsia="zh-CN"/>
              </w:rPr>
              <w:t>需</w:t>
            </w:r>
            <w:r>
              <w:rPr>
                <w:rFonts w:ascii="Times New Roman" w:hAnsi="Times New Roman" w:cs="Times New Roman"/>
                <w:sz w:val="24"/>
              </w:rPr>
              <w:t>占比29%</w:t>
            </w:r>
            <w:r>
              <w:rPr>
                <w:rFonts w:hint="eastAsia" w:ascii="Times New Roman" w:hAnsi="Times New Roman" w:cs="Times New Roman"/>
                <w:sz w:val="24"/>
                <w:lang w:eastAsia="zh-CN"/>
              </w:rPr>
              <w:t>。</w:t>
            </w:r>
          </w:p>
          <w:p w14:paraId="0710658E">
            <w:pPr>
              <w:widowControl/>
              <w:autoSpaceDE w:val="0"/>
              <w:autoSpaceDN w:val="0"/>
              <w:adjustRightInd w:val="0"/>
              <w:snapToGrid w:val="0"/>
              <w:spacing w:before="156" w:beforeLines="50" w:line="360" w:lineRule="auto"/>
              <w:ind w:left="105" w:leftChars="50" w:right="105" w:rightChars="50"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问6:请介绍一下废弃油脂来源有哪些方面，废弃油脂供应能满足下游需求吗</w:t>
            </w:r>
          </w:p>
          <w:p w14:paraId="25857EB9">
            <w:pPr>
              <w:widowControl/>
              <w:autoSpaceDE w:val="0"/>
              <w:autoSpaceDN w:val="0"/>
              <w:adjustRightInd w:val="0"/>
              <w:snapToGrid w:val="0"/>
              <w:spacing w:before="156" w:beforeLines="50" w:line="360" w:lineRule="auto"/>
              <w:ind w:left="105" w:leftChars="50" w:right="105" w:rightChars="50" w:firstLine="510" w:firstLineChars="200"/>
              <w:textAlignment w:val="baseline"/>
              <w:rPr>
                <w:rFonts w:ascii="宋体" w:hAnsi="宋体"/>
                <w:bCs/>
                <w:snapToGrid w:val="0"/>
                <w:color w:val="000000"/>
                <w:spacing w:val="7"/>
                <w:kern w:val="0"/>
                <w:sz w:val="24"/>
              </w:rPr>
            </w:pPr>
            <w:r>
              <w:rPr>
                <w:rFonts w:hint="eastAsia" w:ascii="宋体" w:hAnsi="宋体"/>
                <w:b/>
                <w:snapToGrid w:val="0"/>
                <w:color w:val="000000"/>
                <w:spacing w:val="7"/>
                <w:kern w:val="0"/>
                <w:sz w:val="24"/>
              </w:rPr>
              <w:t>答6</w:t>
            </w:r>
            <w:r>
              <w:rPr>
                <w:rFonts w:hint="eastAsia" w:ascii="宋体" w:hAnsi="宋体"/>
                <w:snapToGrid w:val="0"/>
                <w:color w:val="000000"/>
                <w:spacing w:val="7"/>
                <w:kern w:val="0"/>
                <w:sz w:val="24"/>
              </w:rPr>
              <w:t>：</w:t>
            </w:r>
            <w:r>
              <w:rPr>
                <w:rFonts w:hint="eastAsia" w:ascii="宋体" w:hAnsi="宋体"/>
                <w:sz w:val="24"/>
              </w:rPr>
              <w:t>废弃油脂主要来源于</w:t>
            </w:r>
            <w:r>
              <w:rPr>
                <w:rFonts w:hint="eastAsia" w:ascii="宋体" w:hAnsi="宋体"/>
                <w:sz w:val="24"/>
                <w:shd w:val="clear" w:color="auto" w:fill="FFFFFF"/>
              </w:rPr>
              <w:t>粮油食品加工企业、油脂化工企业</w:t>
            </w:r>
            <w:r>
              <w:rPr>
                <w:rFonts w:hint="eastAsia" w:ascii="宋体" w:hAnsi="宋体"/>
                <w:sz w:val="24"/>
              </w:rPr>
              <w:t>、餐厨处理企业等。</w:t>
            </w:r>
            <w:r>
              <w:rPr>
                <w:rFonts w:hint="eastAsia" w:ascii="宋体" w:hAnsi="宋体"/>
                <w:sz w:val="24"/>
                <w:shd w:val="clear" w:color="auto" w:fill="FFFFFF"/>
              </w:rPr>
              <w:t>公司在全国范围内多点布局知名粮油食品加工企业、油脂化工企业、餐厨处理企业、区域性个人供应商等供货渠道。</w:t>
            </w:r>
            <w:r>
              <w:rPr>
                <w:rFonts w:hint="eastAsia"/>
                <w:sz w:val="24"/>
              </w:rPr>
              <w:t>我国废弃油脂资源丰富，废弃油脂收集和利用发展空间较大，</w:t>
            </w:r>
            <w:r>
              <w:rPr>
                <w:rFonts w:hint="eastAsia"/>
                <w:sz w:val="24"/>
                <w:shd w:val="clear" w:color="auto" w:fill="FFFFFF"/>
              </w:rPr>
              <w:t>废弃油脂供应潜力超</w:t>
            </w:r>
            <w:r>
              <w:rPr>
                <w:rFonts w:ascii="宋体" w:hAnsi="宋体"/>
                <w:sz w:val="24"/>
                <w:shd w:val="clear" w:color="auto" w:fill="FFFFFF"/>
              </w:rPr>
              <w:t>1,</w:t>
            </w:r>
            <w:r>
              <w:rPr>
                <w:rFonts w:hint="eastAsia" w:ascii="宋体" w:hAnsi="宋体"/>
                <w:sz w:val="24"/>
                <w:shd w:val="clear" w:color="auto" w:fill="FFFFFF"/>
              </w:rPr>
              <w:t>2</w:t>
            </w:r>
            <w:r>
              <w:rPr>
                <w:rFonts w:ascii="宋体" w:hAnsi="宋体"/>
                <w:sz w:val="24"/>
                <w:shd w:val="clear" w:color="auto" w:fill="FFFFFF"/>
              </w:rPr>
              <w:t>00</w:t>
            </w:r>
            <w:r>
              <w:rPr>
                <w:rFonts w:hAnsi="宋体"/>
                <w:sz w:val="24"/>
                <w:shd w:val="clear" w:color="auto" w:fill="FFFFFF"/>
              </w:rPr>
              <w:t>万吨/年</w:t>
            </w:r>
            <w:r>
              <w:rPr>
                <w:rFonts w:hint="eastAsia" w:hAnsi="宋体"/>
                <w:sz w:val="24"/>
                <w:shd w:val="clear" w:color="auto" w:fill="FFFFFF"/>
              </w:rPr>
              <w:t>，</w:t>
            </w:r>
            <w:r>
              <w:rPr>
                <w:rFonts w:hint="eastAsia"/>
                <w:sz w:val="24"/>
              </w:rPr>
              <w:t>是最主要的废弃油脂资源国。我国废弃油脂主要来源于食用油消费产生的废弃物，因此废弃油脂的资源量与食用油消费量、饮食习惯挂钩。</w:t>
            </w:r>
          </w:p>
        </w:tc>
      </w:tr>
      <w:tr w14:paraId="15AB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04293666">
            <w:pPr>
              <w:widowControl/>
              <w:kinsoku w:val="0"/>
              <w:autoSpaceDE w:val="0"/>
              <w:autoSpaceDN w:val="0"/>
              <w:adjustRightInd w:val="0"/>
              <w:snapToGrid w:val="0"/>
              <w:spacing w:before="40" w:line="227" w:lineRule="auto"/>
              <w:ind w:left="340"/>
              <w:textAlignment w:val="baseline"/>
              <w:rPr>
                <w:rFonts w:ascii="宋体" w:hAnsi="宋体"/>
                <w:snapToGrid w:val="0"/>
                <w:color w:val="000000"/>
                <w:kern w:val="0"/>
                <w:sz w:val="24"/>
              </w:rPr>
            </w:pPr>
            <w:r>
              <w:rPr>
                <w:rFonts w:ascii="宋体" w:hAnsi="宋体"/>
                <w:snapToGrid w:val="0"/>
                <w:color w:val="000000"/>
                <w:spacing w:val="6"/>
                <w:kern w:val="0"/>
                <w:sz w:val="24"/>
                <w14:textOutline w14:w="4356" w14:cap="sq" w14:cmpd="sng" w14:algn="ctr">
                  <w14:solidFill>
                    <w14:srgbClr w14:val="000000"/>
                  </w14:solidFill>
                  <w14:prstDash w14:val="solid"/>
                  <w14:bevel/>
                </w14:textOutline>
              </w:rPr>
              <w:t>附</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件清单</w:t>
            </w:r>
            <w:r>
              <w:rPr>
                <w:rFonts w:ascii="宋体" w:hAnsi="宋体"/>
                <w:snapToGrid w:val="0"/>
                <w:color w:val="000000"/>
                <w:spacing w:val="5"/>
                <w:kern w:val="0"/>
                <w:sz w:val="24"/>
              </w:rPr>
              <w:t xml:space="preserve"> </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(如有)</w:t>
            </w:r>
          </w:p>
        </w:tc>
        <w:tc>
          <w:tcPr>
            <w:tcW w:w="6095" w:type="dxa"/>
            <w:vAlign w:val="center"/>
          </w:tcPr>
          <w:p w14:paraId="3C189224">
            <w:pPr>
              <w:widowControl/>
              <w:kinsoku w:val="0"/>
              <w:autoSpaceDE w:val="0"/>
              <w:autoSpaceDN w:val="0"/>
              <w:adjustRightInd w:val="0"/>
              <w:snapToGrid w:val="0"/>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无</w:t>
            </w:r>
          </w:p>
        </w:tc>
      </w:tr>
      <w:tr w14:paraId="0538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58" w:type="dxa"/>
            <w:vAlign w:val="center"/>
          </w:tcPr>
          <w:p w14:paraId="63E5F5E6">
            <w:pPr>
              <w:widowControl/>
              <w:kinsoku w:val="0"/>
              <w:autoSpaceDE w:val="0"/>
              <w:autoSpaceDN w:val="0"/>
              <w:adjustRightInd w:val="0"/>
              <w:snapToGrid w:val="0"/>
              <w:spacing w:before="41" w:line="228" w:lineRule="auto"/>
              <w:ind w:left="362"/>
              <w:textAlignment w:val="baseline"/>
              <w:rPr>
                <w:rFonts w:ascii="宋体" w:hAnsi="宋体"/>
                <w:snapToGrid w:val="0"/>
                <w:color w:val="000000"/>
                <w:kern w:val="0"/>
                <w:sz w:val="24"/>
              </w:rPr>
            </w:pPr>
            <w:r>
              <w:rPr>
                <w:rFonts w:ascii="宋体" w:hAnsi="宋体"/>
                <w:snapToGrid w:val="0"/>
                <w:color w:val="000000"/>
                <w:spacing w:val="-16"/>
                <w:kern w:val="0"/>
                <w:sz w:val="24"/>
                <w14:textOutline w14:w="4356" w14:cap="sq" w14:cmpd="sng" w14:algn="ctr">
                  <w14:solidFill>
                    <w14:srgbClr w14:val="000000"/>
                  </w14:solidFill>
                  <w14:prstDash w14:val="solid"/>
                  <w14:bevel/>
                </w14:textOutline>
              </w:rPr>
              <w:t>日</w:t>
            </w:r>
            <w:r>
              <w:rPr>
                <w:rFonts w:ascii="宋体" w:hAnsi="宋体"/>
                <w:snapToGrid w:val="0"/>
                <w:color w:val="000000"/>
                <w:spacing w:val="-15"/>
                <w:kern w:val="0"/>
                <w:sz w:val="24"/>
                <w14:textOutline w14:w="4356" w14:cap="sq" w14:cmpd="sng" w14:algn="ctr">
                  <w14:solidFill>
                    <w14:srgbClr w14:val="000000"/>
                  </w14:solidFill>
                  <w14:prstDash w14:val="solid"/>
                  <w14:bevel/>
                </w14:textOutline>
              </w:rPr>
              <w:t>期</w:t>
            </w:r>
          </w:p>
        </w:tc>
        <w:tc>
          <w:tcPr>
            <w:tcW w:w="6095" w:type="dxa"/>
            <w:vAlign w:val="center"/>
          </w:tcPr>
          <w:p w14:paraId="0817698D">
            <w:pPr>
              <w:widowControl/>
              <w:kinsoku w:val="0"/>
              <w:autoSpaceDE w:val="0"/>
              <w:autoSpaceDN w:val="0"/>
              <w:adjustRightInd w:val="0"/>
              <w:snapToGrid w:val="0"/>
              <w:spacing w:before="42" w:line="227" w:lineRule="auto"/>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5</w:t>
            </w:r>
            <w:r>
              <w:rPr>
                <w:rFonts w:ascii="宋体" w:hAnsi="宋体"/>
                <w:snapToGrid w:val="0"/>
                <w:color w:val="000000"/>
                <w:spacing w:val="7"/>
                <w:kern w:val="0"/>
                <w:sz w:val="24"/>
              </w:rPr>
              <w:t>月</w:t>
            </w:r>
            <w:r>
              <w:rPr>
                <w:rFonts w:hint="eastAsia" w:ascii="宋体" w:hAnsi="宋体"/>
                <w:snapToGrid w:val="0"/>
                <w:color w:val="000000"/>
                <w:spacing w:val="7"/>
                <w:kern w:val="0"/>
                <w:sz w:val="24"/>
              </w:rPr>
              <w:t>28</w:t>
            </w:r>
            <w:r>
              <w:rPr>
                <w:rFonts w:ascii="宋体" w:hAnsi="宋体"/>
                <w:snapToGrid w:val="0"/>
                <w:color w:val="000000"/>
                <w:spacing w:val="7"/>
                <w:kern w:val="0"/>
                <w:sz w:val="24"/>
              </w:rPr>
              <w:t>日</w:t>
            </w:r>
          </w:p>
        </w:tc>
      </w:tr>
    </w:tbl>
    <w:p w14:paraId="0FC39D98">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3369C"/>
    <w:rsid w:val="00380005"/>
    <w:rsid w:val="00744A9E"/>
    <w:rsid w:val="00A10A72"/>
    <w:rsid w:val="08530D60"/>
    <w:rsid w:val="0BE3070D"/>
    <w:rsid w:val="0DB42623"/>
    <w:rsid w:val="10704D26"/>
    <w:rsid w:val="11E0559C"/>
    <w:rsid w:val="1C02431A"/>
    <w:rsid w:val="22EC546B"/>
    <w:rsid w:val="2B4029D3"/>
    <w:rsid w:val="2F1C3757"/>
    <w:rsid w:val="31613F1A"/>
    <w:rsid w:val="39B20E82"/>
    <w:rsid w:val="3D633F5E"/>
    <w:rsid w:val="43273BCA"/>
    <w:rsid w:val="48162268"/>
    <w:rsid w:val="494F4764"/>
    <w:rsid w:val="4A33369C"/>
    <w:rsid w:val="60C277FC"/>
    <w:rsid w:val="65610F33"/>
    <w:rsid w:val="68A5389A"/>
    <w:rsid w:val="745D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Balloon Text"/>
    <w:basedOn w:val="1"/>
    <w:link w:val="12"/>
    <w:uiPriority w:val="0"/>
    <w:rPr>
      <w:sz w:val="18"/>
      <w:szCs w:val="18"/>
    </w:rPr>
  </w:style>
  <w:style w:type="paragraph" w:styleId="4">
    <w:name w:val="annotation subject"/>
    <w:basedOn w:val="2"/>
    <w:next w:val="2"/>
    <w:link w:val="14"/>
    <w:uiPriority w:val="0"/>
    <w:rPr>
      <w:b/>
      <w:bCs/>
    </w:rPr>
  </w:style>
  <w:style w:type="character" w:styleId="7">
    <w:name w:val="Hyperlink"/>
    <w:basedOn w:val="6"/>
    <w:unhideWhenUsed/>
    <w:uiPriority w:val="99"/>
    <w:rPr>
      <w:color w:val="0000FF"/>
      <w:u w:val="single"/>
    </w:rPr>
  </w:style>
  <w:style w:type="character" w:styleId="8">
    <w:name w:val="annotation reference"/>
    <w:basedOn w:val="6"/>
    <w:uiPriority w:val="0"/>
    <w:rPr>
      <w:sz w:val="21"/>
      <w:szCs w:val="21"/>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005正文"/>
    <w:basedOn w:val="1"/>
    <w:link w:val="11"/>
    <w:qFormat/>
    <w:uiPriority w:val="0"/>
    <w:pPr>
      <w:spacing w:before="50" w:beforeLines="50" w:after="50" w:afterLines="50" w:line="360" w:lineRule="auto"/>
      <w:ind w:firstLine="200" w:firstLineChars="200"/>
    </w:pPr>
    <w:rPr>
      <w:rFonts w:ascii="Times New Roman" w:hAnsi="Times New Roman"/>
      <w:sz w:val="24"/>
    </w:rPr>
  </w:style>
  <w:style w:type="character" w:customStyle="1" w:styleId="11">
    <w:name w:val="005正文 Char"/>
    <w:link w:val="10"/>
    <w:qFormat/>
    <w:uiPriority w:val="0"/>
    <w:rPr>
      <w:rFonts w:ascii="Times New Roman" w:hAnsi="Times New Roman"/>
      <w:sz w:val="24"/>
    </w:rPr>
  </w:style>
  <w:style w:type="character" w:customStyle="1" w:styleId="12">
    <w:name w:val="批注框文本 字符"/>
    <w:basedOn w:val="6"/>
    <w:link w:val="3"/>
    <w:qFormat/>
    <w:uiPriority w:val="0"/>
    <w:rPr>
      <w:rFonts w:ascii="Calibri" w:hAnsi="Calibri" w:eastAsia="宋体" w:cs="宋体"/>
      <w:kern w:val="2"/>
      <w:sz w:val="18"/>
      <w:szCs w:val="18"/>
    </w:rPr>
  </w:style>
  <w:style w:type="character" w:customStyle="1" w:styleId="13">
    <w:name w:val="批注文字 字符"/>
    <w:basedOn w:val="6"/>
    <w:link w:val="2"/>
    <w:uiPriority w:val="0"/>
    <w:rPr>
      <w:rFonts w:ascii="Calibri" w:hAnsi="Calibri" w:eastAsia="宋体" w:cs="宋体"/>
      <w:kern w:val="2"/>
      <w:sz w:val="21"/>
      <w:szCs w:val="24"/>
    </w:rPr>
  </w:style>
  <w:style w:type="character" w:customStyle="1" w:styleId="14">
    <w:name w:val="批注主题 字符"/>
    <w:basedOn w:val="13"/>
    <w:link w:val="4"/>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1586</Words>
  <Characters>1664</Characters>
  <Lines>12</Lines>
  <Paragraphs>3</Paragraphs>
  <TotalTime>48</TotalTime>
  <ScaleCrop>false</ScaleCrop>
  <LinksUpToDate>false</LinksUpToDate>
  <CharactersWithSpaces>1747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2026-05-28T05:46:00Z</dcterms:created>
  <dc:creator>可可可</dc:creator>
  <cp:lastModifiedBy>可可可</cp:lastModifiedBy>
  <cp:lastPrinted>2026-05-28T09:22:09Z</cp:lastPrinted>
  <dcterms:modified xsi:type="dcterms:W3CDTF">2026-05-28T10:10:23Z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71A129E79D7F4166A677242B55424474_13</vt:lpwstr>
  </property>
  <property fmtid="{D5CDD505-2E9C-101B-9397-08002B2CF9AE}" pid="4" name="KSOTemplateDocerSaveRecord">
    <vt:lpwstr>eyJoZGlkIjoiZWRhOWZmMjcyZGY0NTUzNTY4OThjYWU3NGM2ZTVmNDAiLCJ1c2VySWQiOiIzMjAyODUzNjMifQ==</vt:lpwstr>
  </property>
</Properties>
</file>